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openxmlformats.org/officedocument/2006/relationships/metadata/core-properties" Target="docProps/core0.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81775" w14:textId="77777777" w:rsidR="00EC4067" w:rsidRDefault="00EC4067" w:rsidP="00EC4067">
      <w:pPr>
        <w:tabs>
          <w:tab w:val="left" w:pos="284"/>
        </w:tabs>
        <w:spacing w:after="0" w:line="240" w:lineRule="auto"/>
        <w:rPr>
          <w:rFonts w:ascii="Calibri" w:hAnsi="Calibri" w:cs="Calibri"/>
          <w:b/>
          <w:bCs/>
          <w:color w:val="000000"/>
          <w:sz w:val="22"/>
          <w:szCs w:val="22"/>
          <w:lang w:eastAsia="zh-CN"/>
        </w:rPr>
      </w:pPr>
    </w:p>
    <w:p w14:paraId="0421FAF7" w14:textId="15FE98C9" w:rsidR="00EC4067" w:rsidRPr="00EC4067" w:rsidRDefault="009357C5" w:rsidP="00EC4067">
      <w:pPr>
        <w:tabs>
          <w:tab w:val="left" w:pos="284"/>
        </w:tabs>
        <w:spacing w:after="0" w:line="240" w:lineRule="auto"/>
        <w:rPr>
          <w:rFonts w:ascii="Calibri" w:hAnsi="Calibri" w:cs="Calibri"/>
          <w:b/>
          <w:bCs/>
          <w:color w:val="000000"/>
          <w:sz w:val="22"/>
          <w:szCs w:val="22"/>
          <w:lang w:eastAsia="zh-CN"/>
        </w:rPr>
      </w:pPr>
      <w:r w:rsidRPr="00EC4067">
        <w:rPr>
          <w:rFonts w:ascii="Calibri" w:hAnsi="Calibri" w:cs="Calibri"/>
          <w:noProof/>
          <w:sz w:val="22"/>
          <w:szCs w:val="22"/>
        </w:rPr>
        <w:drawing>
          <wp:anchor distT="0" distB="0" distL="0" distR="0" simplePos="0" relativeHeight="19" behindDoc="0" locked="0" layoutInCell="0" allowOverlap="1" wp14:anchorId="52661FB6" wp14:editId="32DB7B63">
            <wp:simplePos x="0" y="0"/>
            <wp:positionH relativeFrom="page">
              <wp:posOffset>890270</wp:posOffset>
            </wp:positionH>
            <wp:positionV relativeFrom="page">
              <wp:posOffset>-899795</wp:posOffset>
            </wp:positionV>
            <wp:extent cx="4163695" cy="646430"/>
            <wp:effectExtent l="0" t="0" r="0" b="0"/>
            <wp:wrapSquare wrapText="bothSides"/>
            <wp:docPr id="1"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pic:cNvPicPr>
                      <a:picLocks noChangeAspect="1" noChangeArrowheads="1"/>
                    </pic:cNvPicPr>
                  </pic:nvPicPr>
                  <pic:blipFill>
                    <a:blip r:embed="rId7"/>
                    <a:stretch>
                      <a:fillRect/>
                    </a:stretch>
                  </pic:blipFill>
                  <pic:spPr bwMode="auto">
                    <a:xfrm>
                      <a:off x="0" y="0"/>
                      <a:ext cx="4163695" cy="646430"/>
                    </a:xfrm>
                    <a:prstGeom prst="rect">
                      <a:avLst/>
                    </a:prstGeom>
                    <a:noFill/>
                  </pic:spPr>
                </pic:pic>
              </a:graphicData>
            </a:graphic>
          </wp:anchor>
        </w:drawing>
      </w:r>
      <w:r w:rsidRPr="00EC4067">
        <w:rPr>
          <w:rFonts w:ascii="Calibri" w:hAnsi="Calibri" w:cs="Calibri"/>
          <w:noProof/>
          <w:sz w:val="22"/>
          <w:szCs w:val="22"/>
        </w:rPr>
        <w:drawing>
          <wp:anchor distT="0" distB="0" distL="0" distR="0" simplePos="0" relativeHeight="20" behindDoc="0" locked="0" layoutInCell="0" allowOverlap="1" wp14:anchorId="29194661" wp14:editId="49ADC0AB">
            <wp:simplePos x="0" y="0"/>
            <wp:positionH relativeFrom="page">
              <wp:posOffset>762000</wp:posOffset>
            </wp:positionH>
            <wp:positionV relativeFrom="page">
              <wp:posOffset>-2143125</wp:posOffset>
            </wp:positionV>
            <wp:extent cx="4163695" cy="646430"/>
            <wp:effectExtent l="0" t="0" r="0" b="0"/>
            <wp:wrapSquare wrapText="bothSides"/>
            <wp:docPr id="2"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2"/>
                    <pic:cNvPicPr>
                      <a:picLocks noChangeAspect="1" noChangeArrowheads="1"/>
                    </pic:cNvPicPr>
                  </pic:nvPicPr>
                  <pic:blipFill>
                    <a:blip r:embed="rId7"/>
                    <a:stretch>
                      <a:fillRect/>
                    </a:stretch>
                  </pic:blipFill>
                  <pic:spPr bwMode="auto">
                    <a:xfrm>
                      <a:off x="0" y="0"/>
                      <a:ext cx="4163695" cy="646430"/>
                    </a:xfrm>
                    <a:prstGeom prst="rect">
                      <a:avLst/>
                    </a:prstGeom>
                    <a:noFill/>
                  </pic:spPr>
                </pic:pic>
              </a:graphicData>
            </a:graphic>
          </wp:anchor>
        </w:drawing>
      </w:r>
      <w:r w:rsidRPr="00EC4067">
        <w:rPr>
          <w:rFonts w:ascii="Calibri" w:hAnsi="Calibri" w:cs="Calibri"/>
          <w:noProof/>
          <w:sz w:val="22"/>
          <w:szCs w:val="22"/>
        </w:rPr>
        <w:drawing>
          <wp:anchor distT="0" distB="0" distL="0" distR="0" simplePos="0" relativeHeight="21" behindDoc="0" locked="0" layoutInCell="0" allowOverlap="1" wp14:anchorId="29C53A43" wp14:editId="0E58E386">
            <wp:simplePos x="0" y="0"/>
            <wp:positionH relativeFrom="page">
              <wp:posOffset>923925</wp:posOffset>
            </wp:positionH>
            <wp:positionV relativeFrom="page">
              <wp:posOffset>-1833245</wp:posOffset>
            </wp:positionV>
            <wp:extent cx="4163695" cy="646430"/>
            <wp:effectExtent l="0" t="0" r="0" b="0"/>
            <wp:wrapSquare wrapText="bothSides"/>
            <wp:docPr id="3"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3"/>
                    <pic:cNvPicPr>
                      <a:picLocks noChangeAspect="1" noChangeArrowheads="1"/>
                    </pic:cNvPicPr>
                  </pic:nvPicPr>
                  <pic:blipFill>
                    <a:blip r:embed="rId7"/>
                    <a:stretch>
                      <a:fillRect/>
                    </a:stretch>
                  </pic:blipFill>
                  <pic:spPr bwMode="auto">
                    <a:xfrm>
                      <a:off x="0" y="0"/>
                      <a:ext cx="4163695" cy="646430"/>
                    </a:xfrm>
                    <a:prstGeom prst="rect">
                      <a:avLst/>
                    </a:prstGeom>
                    <a:noFill/>
                  </pic:spPr>
                </pic:pic>
              </a:graphicData>
            </a:graphic>
          </wp:anchor>
        </w:drawing>
      </w:r>
      <w:r w:rsidRPr="00EC4067">
        <w:rPr>
          <w:rFonts w:ascii="Calibri" w:hAnsi="Calibri" w:cs="Calibri"/>
          <w:noProof/>
          <w:sz w:val="22"/>
          <w:szCs w:val="22"/>
        </w:rPr>
        <w:drawing>
          <wp:anchor distT="0" distB="0" distL="0" distR="0" simplePos="0" relativeHeight="22" behindDoc="0" locked="0" layoutInCell="0" allowOverlap="1" wp14:anchorId="031D5497" wp14:editId="1742CE38">
            <wp:simplePos x="0" y="0"/>
            <wp:positionH relativeFrom="page">
              <wp:posOffset>838200</wp:posOffset>
            </wp:positionH>
            <wp:positionV relativeFrom="page">
              <wp:posOffset>-645795</wp:posOffset>
            </wp:positionV>
            <wp:extent cx="4163695" cy="646430"/>
            <wp:effectExtent l="0" t="0" r="0" b="0"/>
            <wp:wrapSquare wrapText="bothSides"/>
            <wp:docPr id="4" name="Obra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4"/>
                    <pic:cNvPicPr>
                      <a:picLocks noChangeAspect="1" noChangeArrowheads="1"/>
                    </pic:cNvPicPr>
                  </pic:nvPicPr>
                  <pic:blipFill>
                    <a:blip r:embed="rId7"/>
                    <a:stretch>
                      <a:fillRect/>
                    </a:stretch>
                  </pic:blipFill>
                  <pic:spPr bwMode="auto">
                    <a:xfrm>
                      <a:off x="0" y="0"/>
                      <a:ext cx="4163695" cy="646430"/>
                    </a:xfrm>
                    <a:prstGeom prst="rect">
                      <a:avLst/>
                    </a:prstGeom>
                    <a:noFill/>
                  </pic:spPr>
                </pic:pic>
              </a:graphicData>
            </a:graphic>
          </wp:anchor>
        </w:drawing>
      </w:r>
      <w:r w:rsidRPr="00EC4067">
        <w:rPr>
          <w:rFonts w:ascii="Calibri" w:hAnsi="Calibri" w:cs="Calibri"/>
          <w:noProof/>
          <w:sz w:val="22"/>
          <w:szCs w:val="22"/>
        </w:rPr>
        <w:drawing>
          <wp:anchor distT="0" distB="0" distL="0" distR="0" simplePos="0" relativeHeight="23" behindDoc="0" locked="0" layoutInCell="0" allowOverlap="1" wp14:anchorId="78EDF802" wp14:editId="5C506860">
            <wp:simplePos x="0" y="0"/>
            <wp:positionH relativeFrom="page">
              <wp:posOffset>1052195</wp:posOffset>
            </wp:positionH>
            <wp:positionV relativeFrom="page">
              <wp:posOffset>-1990725</wp:posOffset>
            </wp:positionV>
            <wp:extent cx="4163695" cy="646430"/>
            <wp:effectExtent l="0" t="0" r="0" b="0"/>
            <wp:wrapSquare wrapText="bothSides"/>
            <wp:docPr id="5" name="Obraz4 kopi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4 kopia 1"/>
                    <pic:cNvPicPr>
                      <a:picLocks noChangeAspect="1" noChangeArrowheads="1"/>
                    </pic:cNvPicPr>
                  </pic:nvPicPr>
                  <pic:blipFill>
                    <a:blip r:embed="rId7"/>
                    <a:stretch>
                      <a:fillRect/>
                    </a:stretch>
                  </pic:blipFill>
                  <pic:spPr bwMode="auto">
                    <a:xfrm>
                      <a:off x="0" y="0"/>
                      <a:ext cx="4163695" cy="646430"/>
                    </a:xfrm>
                    <a:prstGeom prst="rect">
                      <a:avLst/>
                    </a:prstGeom>
                    <a:noFill/>
                  </pic:spPr>
                </pic:pic>
              </a:graphicData>
            </a:graphic>
          </wp:anchor>
        </w:drawing>
      </w:r>
      <w:r w:rsidRPr="00EC4067">
        <w:rPr>
          <w:rFonts w:ascii="Calibri" w:hAnsi="Calibri" w:cs="Calibri"/>
          <w:b/>
          <w:bCs/>
          <w:color w:val="000000"/>
          <w:sz w:val="22"/>
          <w:szCs w:val="22"/>
          <w:lang w:eastAsia="zh-CN"/>
        </w:rPr>
        <w:t xml:space="preserve">Nr referencyjny </w:t>
      </w:r>
      <w:bookmarkStart w:id="0" w:name="ext-gen1259_kopia_3"/>
      <w:bookmarkStart w:id="1" w:name="ext-gen1178_kopia_3"/>
      <w:bookmarkStart w:id="2" w:name="ext-gen1233_kopia_3"/>
      <w:bookmarkStart w:id="3" w:name="ext-gen1234_kopia_3"/>
      <w:bookmarkStart w:id="4" w:name="ext-gen1516_kopia_3"/>
      <w:bookmarkEnd w:id="0"/>
      <w:bookmarkEnd w:id="1"/>
      <w:bookmarkEnd w:id="2"/>
      <w:bookmarkEnd w:id="3"/>
      <w:bookmarkEnd w:id="4"/>
      <w:r w:rsidRPr="00EC4067">
        <w:rPr>
          <w:rFonts w:ascii="Calibri" w:hAnsi="Calibri" w:cs="Calibri"/>
          <w:b/>
          <w:bCs/>
          <w:color w:val="000000"/>
          <w:sz w:val="22"/>
          <w:szCs w:val="22"/>
          <w:lang w:eastAsia="zh-CN"/>
        </w:rPr>
        <w:t>NH.262.2.2026</w:t>
      </w:r>
      <w:r w:rsidRPr="00EC4067">
        <w:rPr>
          <w:rFonts w:ascii="Calibri" w:hAnsi="Calibri" w:cs="Calibri"/>
          <w:b/>
          <w:bCs/>
          <w:color w:val="000000"/>
          <w:sz w:val="22"/>
          <w:szCs w:val="22"/>
          <w:lang w:eastAsia="zh-CN"/>
        </w:rPr>
        <w:tab/>
      </w:r>
      <w:r w:rsidRPr="00EC4067">
        <w:rPr>
          <w:rFonts w:ascii="Calibri" w:hAnsi="Calibri" w:cs="Calibri"/>
          <w:b/>
          <w:bCs/>
          <w:color w:val="000000"/>
          <w:sz w:val="22"/>
          <w:szCs w:val="22"/>
          <w:lang w:eastAsia="zh-CN"/>
        </w:rPr>
        <w:tab/>
      </w:r>
    </w:p>
    <w:p w14:paraId="4C70D680" w14:textId="41298B5C" w:rsidR="00EC4067" w:rsidRPr="00EC4067" w:rsidRDefault="009357C5" w:rsidP="00884326">
      <w:pPr>
        <w:tabs>
          <w:tab w:val="left" w:pos="284"/>
        </w:tabs>
        <w:spacing w:after="0" w:line="240" w:lineRule="auto"/>
        <w:jc w:val="right"/>
        <w:rPr>
          <w:rFonts w:ascii="Calibri" w:hAnsi="Calibri" w:cs="Calibri"/>
          <w:b/>
          <w:bCs/>
          <w:color w:val="000000"/>
          <w:sz w:val="22"/>
          <w:szCs w:val="22"/>
          <w:lang w:eastAsia="zh-CN"/>
        </w:rPr>
      </w:pPr>
      <w:r w:rsidRPr="00EC4067">
        <w:rPr>
          <w:rFonts w:ascii="Calibri" w:hAnsi="Calibri" w:cs="Calibri"/>
          <w:b/>
          <w:bCs/>
          <w:color w:val="000000"/>
          <w:sz w:val="22"/>
          <w:szCs w:val="22"/>
          <w:lang w:eastAsia="zh-CN"/>
        </w:rPr>
        <w:t xml:space="preserve">Załącznik nr 2 </w:t>
      </w:r>
      <w:bookmarkStart w:id="5" w:name="_Hlk211275452"/>
      <w:r w:rsidR="00EC4067" w:rsidRPr="00EC4067">
        <w:rPr>
          <w:rFonts w:ascii="Calibri" w:hAnsi="Calibri" w:cs="Calibri"/>
          <w:b/>
          <w:bCs/>
          <w:color w:val="000000"/>
          <w:sz w:val="22"/>
          <w:szCs w:val="22"/>
          <w:lang w:eastAsia="zh-CN"/>
        </w:rPr>
        <w:t>do Zapytania ofert</w:t>
      </w:r>
      <w:r w:rsidR="00EC4067">
        <w:rPr>
          <w:rFonts w:ascii="Calibri" w:hAnsi="Calibri" w:cs="Calibri"/>
          <w:b/>
          <w:bCs/>
          <w:color w:val="000000"/>
          <w:sz w:val="22"/>
          <w:szCs w:val="22"/>
          <w:lang w:eastAsia="zh-CN"/>
        </w:rPr>
        <w:t>o</w:t>
      </w:r>
      <w:r w:rsidR="00EC4067" w:rsidRPr="00EC4067">
        <w:rPr>
          <w:rFonts w:ascii="Calibri" w:hAnsi="Calibri" w:cs="Calibri"/>
          <w:b/>
          <w:bCs/>
          <w:color w:val="000000"/>
          <w:sz w:val="22"/>
          <w:szCs w:val="22"/>
          <w:lang w:eastAsia="zh-CN"/>
        </w:rPr>
        <w:t>wego</w:t>
      </w:r>
    </w:p>
    <w:p w14:paraId="3110D8C7" w14:textId="26A58B02" w:rsidR="00A92E1C" w:rsidRDefault="009357C5" w:rsidP="00EC4067">
      <w:pPr>
        <w:tabs>
          <w:tab w:val="left" w:pos="284"/>
        </w:tabs>
        <w:spacing w:after="0" w:line="240" w:lineRule="auto"/>
        <w:jc w:val="right"/>
        <w:rPr>
          <w:rFonts w:ascii="Calibri" w:hAnsi="Calibri" w:cs="Calibri"/>
          <w:b/>
          <w:bCs/>
          <w:sz w:val="22"/>
          <w:szCs w:val="22"/>
          <w:lang w:eastAsia="zh-CN"/>
        </w:rPr>
      </w:pPr>
      <w:r w:rsidRPr="00EC4067">
        <w:rPr>
          <w:rFonts w:ascii="Calibri" w:hAnsi="Calibri" w:cs="Calibri"/>
          <w:b/>
          <w:bCs/>
          <w:sz w:val="22"/>
          <w:szCs w:val="22"/>
          <w:lang w:eastAsia="zh-CN"/>
        </w:rPr>
        <w:t>Załącznik nr 1 do Umowy</w:t>
      </w:r>
    </w:p>
    <w:p w14:paraId="721C370B" w14:textId="77777777" w:rsidR="00884326" w:rsidRDefault="00884326" w:rsidP="00EC4067">
      <w:pPr>
        <w:tabs>
          <w:tab w:val="left" w:pos="284"/>
        </w:tabs>
        <w:spacing w:after="0" w:line="240" w:lineRule="auto"/>
        <w:jc w:val="right"/>
        <w:rPr>
          <w:rFonts w:ascii="Calibri" w:hAnsi="Calibri" w:cs="Calibri"/>
          <w:b/>
          <w:bCs/>
          <w:sz w:val="22"/>
          <w:szCs w:val="22"/>
          <w:lang w:eastAsia="zh-CN"/>
        </w:rPr>
      </w:pPr>
    </w:p>
    <w:p w14:paraId="10F27D1B" w14:textId="77777777" w:rsidR="00884326" w:rsidRPr="00EC4067" w:rsidRDefault="00884326" w:rsidP="00EC4067">
      <w:pPr>
        <w:tabs>
          <w:tab w:val="left" w:pos="284"/>
        </w:tabs>
        <w:spacing w:after="0" w:line="240" w:lineRule="auto"/>
        <w:jc w:val="right"/>
        <w:rPr>
          <w:rFonts w:ascii="Calibri" w:hAnsi="Calibri" w:cs="Calibri"/>
          <w:sz w:val="22"/>
          <w:szCs w:val="22"/>
        </w:rPr>
      </w:pPr>
    </w:p>
    <w:p w14:paraId="6E590F86" w14:textId="77777777" w:rsidR="00A92E1C" w:rsidRPr="00EC4067" w:rsidRDefault="009357C5">
      <w:pPr>
        <w:tabs>
          <w:tab w:val="left" w:pos="284"/>
        </w:tabs>
        <w:spacing w:after="0" w:line="240" w:lineRule="auto"/>
        <w:jc w:val="center"/>
        <w:rPr>
          <w:rFonts w:ascii="Calibri" w:hAnsi="Calibri" w:cs="Calibri"/>
          <w:sz w:val="22"/>
          <w:szCs w:val="22"/>
        </w:rPr>
      </w:pPr>
      <w:r w:rsidRPr="00EC4067">
        <w:rPr>
          <w:rFonts w:ascii="Calibri" w:hAnsi="Calibri" w:cs="Calibri"/>
          <w:b/>
          <w:bCs/>
          <w:sz w:val="22"/>
          <w:szCs w:val="22"/>
          <w:lang w:eastAsia="zh-CN"/>
        </w:rPr>
        <w:t>FORMULARZ CENOWO –TECHNICZNY</w:t>
      </w:r>
    </w:p>
    <w:p w14:paraId="69B58196" w14:textId="77777777" w:rsidR="00A92E1C" w:rsidRPr="00EC4067" w:rsidRDefault="00A92E1C">
      <w:pPr>
        <w:tabs>
          <w:tab w:val="left" w:pos="284"/>
        </w:tabs>
        <w:spacing w:after="0" w:line="240" w:lineRule="auto"/>
        <w:jc w:val="both"/>
        <w:rPr>
          <w:rFonts w:ascii="Calibri" w:hAnsi="Calibri" w:cs="Calibri"/>
          <w:b/>
          <w:bCs/>
          <w:sz w:val="22"/>
          <w:szCs w:val="22"/>
          <w:lang w:eastAsia="zh-CN"/>
        </w:rPr>
      </w:pPr>
    </w:p>
    <w:p w14:paraId="733945B5" w14:textId="77777777" w:rsidR="00A92E1C" w:rsidRPr="00EC4067" w:rsidRDefault="00A92E1C">
      <w:pPr>
        <w:tabs>
          <w:tab w:val="left" w:pos="284"/>
        </w:tabs>
        <w:spacing w:after="0" w:line="240" w:lineRule="auto"/>
        <w:jc w:val="both"/>
        <w:rPr>
          <w:rFonts w:ascii="Calibri" w:hAnsi="Calibri" w:cs="Calibri"/>
          <w:b/>
          <w:bCs/>
          <w:sz w:val="22"/>
          <w:szCs w:val="22"/>
          <w:lang w:eastAsia="zh-CN"/>
        </w:rPr>
      </w:pPr>
    </w:p>
    <w:p w14:paraId="29638C06" w14:textId="40D58C78" w:rsidR="00A92E1C" w:rsidRPr="00884326" w:rsidRDefault="00884326">
      <w:pPr>
        <w:tabs>
          <w:tab w:val="left" w:pos="284"/>
        </w:tabs>
        <w:spacing w:after="0" w:line="240" w:lineRule="auto"/>
        <w:jc w:val="both"/>
        <w:rPr>
          <w:rFonts w:ascii="Calibri" w:hAnsi="Calibri" w:cs="Calibri"/>
          <w:b/>
          <w:bCs/>
          <w:sz w:val="22"/>
          <w:szCs w:val="22"/>
        </w:rPr>
      </w:pPr>
      <w:r>
        <w:rPr>
          <w:rFonts w:ascii="Calibri" w:hAnsi="Calibri" w:cs="Calibri"/>
          <w:b/>
          <w:bCs/>
          <w:sz w:val="22"/>
          <w:szCs w:val="22"/>
          <w:lang w:eastAsia="zh-CN"/>
        </w:rPr>
        <w:t xml:space="preserve">Przedmiotem zamówienia jest </w:t>
      </w:r>
      <w:r w:rsidR="009357C5" w:rsidRPr="00884326">
        <w:rPr>
          <w:rFonts w:ascii="Calibri" w:hAnsi="Calibri" w:cs="Calibri"/>
          <w:b/>
          <w:bCs/>
          <w:sz w:val="22"/>
          <w:szCs w:val="22"/>
          <w:lang w:eastAsia="zh-CN"/>
        </w:rPr>
        <w:t xml:space="preserve">Dostawa </w:t>
      </w:r>
      <w:bookmarkEnd w:id="5"/>
      <w:r w:rsidR="009357C5" w:rsidRPr="00884326">
        <w:rPr>
          <w:rFonts w:ascii="Calibri" w:hAnsi="Calibri" w:cs="Calibri"/>
          <w:b/>
          <w:bCs/>
          <w:sz w:val="22"/>
          <w:szCs w:val="22"/>
          <w:lang w:eastAsia="zh-CN"/>
        </w:rPr>
        <w:t>sprzętu komputerowego</w:t>
      </w:r>
      <w:r>
        <w:rPr>
          <w:rFonts w:ascii="Calibri" w:hAnsi="Calibri" w:cs="Calibri"/>
          <w:b/>
          <w:bCs/>
          <w:sz w:val="22"/>
          <w:szCs w:val="22"/>
          <w:lang w:eastAsia="zh-CN"/>
        </w:rPr>
        <w:t xml:space="preserve"> do Lubuskiego Centrum Wsparcia Badań Klinicznych. </w:t>
      </w:r>
    </w:p>
    <w:p w14:paraId="6AFF913A" w14:textId="77777777" w:rsidR="00A92E1C" w:rsidRPr="00EC4067" w:rsidRDefault="009357C5">
      <w:pPr>
        <w:tabs>
          <w:tab w:val="left" w:pos="284"/>
        </w:tabs>
        <w:spacing w:after="0" w:line="240" w:lineRule="auto"/>
        <w:jc w:val="both"/>
        <w:rPr>
          <w:rFonts w:ascii="Calibri" w:hAnsi="Calibri" w:cs="Calibri"/>
          <w:sz w:val="22"/>
          <w:szCs w:val="22"/>
        </w:rPr>
      </w:pPr>
      <w:r w:rsidRPr="00EC4067">
        <w:rPr>
          <w:rFonts w:ascii="Calibri" w:hAnsi="Calibri" w:cs="Calibri"/>
          <w:sz w:val="22"/>
          <w:szCs w:val="22"/>
          <w:lang w:eastAsia="zh-CN"/>
        </w:rPr>
        <w:t>Zamawiający wymaga dostawy urządzeń komputerowych w podanej niżej ilości oraz o określonych parametrach technicznych. Podane parametry określają wymagania minimum dla zamawianego sprzętu komputerowego i stanowią warunek kompatybilności ze sprzętem posiadanym i użytkowanym przez Zamawiającego oraz minimalizacji kosztów użytkowania i serwisowania urządzeń. </w:t>
      </w:r>
    </w:p>
    <w:p w14:paraId="6973501C" w14:textId="77777777" w:rsidR="00A92E1C" w:rsidRPr="00EC4067" w:rsidRDefault="009357C5">
      <w:pPr>
        <w:pStyle w:val="Akapitzlist"/>
        <w:numPr>
          <w:ilvl w:val="0"/>
          <w:numId w:val="6"/>
        </w:numPr>
        <w:tabs>
          <w:tab w:val="left" w:pos="1004"/>
        </w:tabs>
        <w:spacing w:after="0" w:line="240" w:lineRule="auto"/>
        <w:jc w:val="both"/>
        <w:rPr>
          <w:rFonts w:ascii="Calibri" w:hAnsi="Calibri" w:cs="Calibri"/>
          <w:sz w:val="22"/>
          <w:szCs w:val="22"/>
        </w:rPr>
      </w:pPr>
      <w:r w:rsidRPr="00EC4067">
        <w:rPr>
          <w:rFonts w:ascii="Calibri" w:hAnsi="Calibri" w:cs="Calibri"/>
          <w:b/>
          <w:bCs/>
          <w:sz w:val="22"/>
          <w:szCs w:val="22"/>
          <w:lang w:eastAsia="zh-CN"/>
        </w:rPr>
        <w:t>Przedmiot zamówienia</w:t>
      </w:r>
    </w:p>
    <w:p w14:paraId="07D52DB3" w14:textId="77777777" w:rsidR="00A92E1C" w:rsidRPr="00EC4067" w:rsidRDefault="009357C5">
      <w:pPr>
        <w:pStyle w:val="Akapitzlist"/>
        <w:tabs>
          <w:tab w:val="left" w:pos="1004"/>
        </w:tabs>
        <w:spacing w:after="0" w:line="240" w:lineRule="auto"/>
        <w:jc w:val="both"/>
        <w:rPr>
          <w:rFonts w:ascii="Calibri" w:hAnsi="Calibri" w:cs="Calibri"/>
          <w:sz w:val="22"/>
          <w:szCs w:val="22"/>
        </w:rPr>
      </w:pPr>
      <w:r w:rsidRPr="00EC4067">
        <w:rPr>
          <w:rFonts w:ascii="Calibri" w:eastAsia="Calibri" w:hAnsi="Calibri" w:cs="Calibri"/>
          <w:color w:val="000000"/>
          <w:sz w:val="22"/>
          <w:szCs w:val="22"/>
        </w:rPr>
        <w:t>a) Zestaw komputerowy typ I - 10 szt.</w:t>
      </w:r>
    </w:p>
    <w:p w14:paraId="1846D23E" w14:textId="77777777" w:rsidR="00A92E1C" w:rsidRPr="00EC4067" w:rsidRDefault="009357C5">
      <w:pPr>
        <w:pStyle w:val="Akapitzlist"/>
        <w:tabs>
          <w:tab w:val="left" w:pos="1004"/>
        </w:tabs>
        <w:spacing w:after="0" w:line="240" w:lineRule="auto"/>
        <w:jc w:val="both"/>
        <w:rPr>
          <w:rFonts w:ascii="Calibri" w:hAnsi="Calibri" w:cs="Calibri"/>
          <w:sz w:val="22"/>
          <w:szCs w:val="22"/>
        </w:rPr>
      </w:pPr>
      <w:r w:rsidRPr="00EC4067">
        <w:rPr>
          <w:rFonts w:ascii="Calibri" w:eastAsia="Calibri" w:hAnsi="Calibri" w:cs="Calibri"/>
          <w:color w:val="000000"/>
          <w:sz w:val="22"/>
          <w:szCs w:val="22"/>
        </w:rPr>
        <w:t>b) Zestaw komputerowy typ II - 6 szt.</w:t>
      </w:r>
    </w:p>
    <w:p w14:paraId="6FFC606C" w14:textId="77777777" w:rsidR="00A92E1C" w:rsidRPr="00EC4067" w:rsidRDefault="009357C5">
      <w:pPr>
        <w:pStyle w:val="Akapitzlist"/>
        <w:tabs>
          <w:tab w:val="left" w:pos="1004"/>
        </w:tabs>
        <w:spacing w:after="0" w:line="240" w:lineRule="auto"/>
        <w:jc w:val="both"/>
        <w:rPr>
          <w:rFonts w:ascii="Calibri" w:hAnsi="Calibri" w:cs="Calibri"/>
          <w:sz w:val="22"/>
          <w:szCs w:val="22"/>
        </w:rPr>
      </w:pPr>
      <w:r w:rsidRPr="00EC4067">
        <w:rPr>
          <w:rFonts w:ascii="Calibri" w:hAnsi="Calibri" w:cs="Calibri"/>
          <w:b/>
          <w:bCs/>
          <w:sz w:val="22"/>
          <w:szCs w:val="22"/>
          <w:lang w:eastAsia="zh-CN"/>
        </w:rPr>
        <w:br/>
        <w:t>Uwaga!</w:t>
      </w:r>
    </w:p>
    <w:p w14:paraId="400C0F83" w14:textId="77777777" w:rsidR="00A92E1C" w:rsidRPr="00EC4067" w:rsidRDefault="009357C5">
      <w:pPr>
        <w:numPr>
          <w:ilvl w:val="0"/>
          <w:numId w:val="2"/>
        </w:numPr>
        <w:tabs>
          <w:tab w:val="left" w:pos="-436"/>
        </w:tabs>
        <w:spacing w:after="0" w:line="240" w:lineRule="auto"/>
        <w:jc w:val="both"/>
        <w:rPr>
          <w:rFonts w:ascii="Calibri" w:hAnsi="Calibri" w:cs="Calibri"/>
          <w:sz w:val="22"/>
          <w:szCs w:val="22"/>
          <w:lang w:eastAsia="zh-CN"/>
        </w:rPr>
      </w:pPr>
      <w:r w:rsidRPr="00EC4067">
        <w:rPr>
          <w:rFonts w:ascii="Calibri" w:hAnsi="Calibri" w:cs="Calibri"/>
          <w:sz w:val="22"/>
          <w:szCs w:val="22"/>
          <w:lang w:eastAsia="zh-CN"/>
        </w:rPr>
        <w:t>Zestaw komputerowy z poz. a), b) musi być fabrycznie nowy, nieużywany, niepochodzący z ekspozycji, nieregenerowany, kompletny oraz gotowy do użytkowania bez konieczności dokonywania dodatkowych zakupów przez Zamawiającego.</w:t>
      </w:r>
    </w:p>
    <w:p w14:paraId="29BBED3B" w14:textId="5513F471" w:rsidR="00A92E1C" w:rsidRPr="00EC4067" w:rsidRDefault="009357C5">
      <w:pPr>
        <w:numPr>
          <w:ilvl w:val="0"/>
          <w:numId w:val="2"/>
        </w:numPr>
        <w:tabs>
          <w:tab w:val="left" w:pos="-436"/>
        </w:tabs>
        <w:spacing w:after="0" w:line="240" w:lineRule="auto"/>
        <w:jc w:val="both"/>
        <w:rPr>
          <w:rFonts w:ascii="Calibri" w:hAnsi="Calibri" w:cs="Calibri"/>
          <w:sz w:val="22"/>
          <w:szCs w:val="22"/>
        </w:rPr>
      </w:pPr>
      <w:r w:rsidRPr="00EC4067">
        <w:rPr>
          <w:rFonts w:ascii="Calibri" w:hAnsi="Calibri" w:cs="Calibri"/>
          <w:sz w:val="22"/>
          <w:szCs w:val="22"/>
          <w:lang w:eastAsia="zh-CN"/>
        </w:rPr>
        <w:t>Wszystkie elementy przedmiotu zam</w:t>
      </w:r>
      <w:r w:rsidR="00884326">
        <w:rPr>
          <w:rFonts w:ascii="Calibri" w:hAnsi="Calibri" w:cs="Calibri"/>
          <w:sz w:val="22"/>
          <w:szCs w:val="22"/>
          <w:lang w:eastAsia="zh-CN"/>
        </w:rPr>
        <w:t>ó</w:t>
      </w:r>
      <w:r w:rsidRPr="00EC4067">
        <w:rPr>
          <w:rFonts w:ascii="Calibri" w:hAnsi="Calibri" w:cs="Calibri"/>
          <w:sz w:val="22"/>
          <w:szCs w:val="22"/>
          <w:lang w:eastAsia="zh-CN"/>
        </w:rPr>
        <w:t xml:space="preserve">wienia muszą być wyprodukowane nie wcześniej niż w 2025 roku oraz pochodzić z oficjalnego kanału dystrybucji producenta na rynek Unii Europejskiej. Gwarancja producenta na wszystkie elementy przedmiotu zamówienia nie może być </w:t>
      </w:r>
      <w:r w:rsidR="00884326">
        <w:rPr>
          <w:rFonts w:ascii="Calibri" w:hAnsi="Calibri" w:cs="Calibri"/>
          <w:sz w:val="22"/>
          <w:szCs w:val="22"/>
          <w:lang w:eastAsia="zh-CN"/>
        </w:rPr>
        <w:t>krótsza</w:t>
      </w:r>
      <w:r w:rsidRPr="00EC4067">
        <w:rPr>
          <w:rFonts w:ascii="Calibri" w:hAnsi="Calibri" w:cs="Calibri"/>
          <w:sz w:val="22"/>
          <w:szCs w:val="22"/>
          <w:lang w:eastAsia="zh-CN"/>
        </w:rPr>
        <w:t xml:space="preserve"> niż 36 miesięcy. </w:t>
      </w:r>
    </w:p>
    <w:p w14:paraId="2988C5B4" w14:textId="77777777" w:rsidR="00A92E1C" w:rsidRPr="00EC4067" w:rsidRDefault="00A92E1C">
      <w:pPr>
        <w:pStyle w:val="Akapitzlist"/>
        <w:tabs>
          <w:tab w:val="left" w:pos="1004"/>
        </w:tabs>
        <w:spacing w:after="0" w:line="240" w:lineRule="auto"/>
        <w:jc w:val="both"/>
        <w:rPr>
          <w:rFonts w:ascii="Calibri" w:hAnsi="Calibri" w:cs="Calibri"/>
          <w:color w:val="000000"/>
          <w:sz w:val="22"/>
          <w:szCs w:val="22"/>
        </w:rPr>
      </w:pPr>
    </w:p>
    <w:p w14:paraId="7F1558FD" w14:textId="77777777" w:rsidR="00A92E1C" w:rsidRPr="00EC4067" w:rsidRDefault="009357C5">
      <w:pPr>
        <w:pStyle w:val="Akapitzlist"/>
        <w:numPr>
          <w:ilvl w:val="0"/>
          <w:numId w:val="4"/>
        </w:numPr>
        <w:tabs>
          <w:tab w:val="left" w:pos="1004"/>
        </w:tabs>
        <w:spacing w:after="0" w:line="240" w:lineRule="auto"/>
        <w:jc w:val="both"/>
        <w:rPr>
          <w:rFonts w:ascii="Calibri" w:hAnsi="Calibri" w:cs="Calibri"/>
          <w:sz w:val="22"/>
          <w:szCs w:val="22"/>
        </w:rPr>
      </w:pPr>
      <w:r w:rsidRPr="00EC4067">
        <w:rPr>
          <w:rFonts w:ascii="Calibri" w:hAnsi="Calibri" w:cs="Calibri"/>
          <w:b/>
          <w:bCs/>
          <w:color w:val="000000"/>
          <w:sz w:val="22"/>
          <w:szCs w:val="22"/>
        </w:rPr>
        <w:t>Wykonawca gwarantuje, że przedmiot zamówienia spełniać będzie wymagania wskazane w niniejszej tabeli.</w:t>
      </w:r>
    </w:p>
    <w:p w14:paraId="7103D080" w14:textId="77777777" w:rsidR="00A92E1C" w:rsidRPr="00EC4067" w:rsidRDefault="00A92E1C">
      <w:pPr>
        <w:tabs>
          <w:tab w:val="left" w:pos="284"/>
        </w:tabs>
        <w:spacing w:after="0" w:line="240" w:lineRule="auto"/>
        <w:jc w:val="both"/>
        <w:rPr>
          <w:rFonts w:ascii="Calibri" w:hAnsi="Calibri" w:cs="Calibri"/>
          <w:b/>
          <w:bCs/>
          <w:sz w:val="22"/>
          <w:szCs w:val="22"/>
          <w:lang w:eastAsia="zh-CN"/>
        </w:rPr>
      </w:pPr>
    </w:p>
    <w:p w14:paraId="3A62C299" w14:textId="77777777" w:rsidR="00A92E1C" w:rsidRPr="00EC4067" w:rsidRDefault="009357C5">
      <w:pPr>
        <w:pStyle w:val="Akapitzlist"/>
        <w:numPr>
          <w:ilvl w:val="0"/>
          <w:numId w:val="7"/>
        </w:numPr>
        <w:tabs>
          <w:tab w:val="left" w:pos="1004"/>
        </w:tabs>
        <w:spacing w:after="0" w:line="240" w:lineRule="auto"/>
        <w:jc w:val="both"/>
        <w:rPr>
          <w:rFonts w:ascii="Calibri" w:hAnsi="Calibri" w:cs="Calibri"/>
          <w:sz w:val="22"/>
          <w:szCs w:val="22"/>
        </w:rPr>
      </w:pPr>
      <w:r w:rsidRPr="00EC4067">
        <w:rPr>
          <w:rFonts w:ascii="Calibri" w:eastAsia="Calibri" w:hAnsi="Calibri" w:cs="Calibri"/>
          <w:b/>
          <w:bCs/>
          <w:color w:val="000000"/>
          <w:sz w:val="22"/>
          <w:szCs w:val="22"/>
        </w:rPr>
        <w:t>Zestaw komputerowy typ I</w:t>
      </w:r>
      <w:r w:rsidRPr="00EC4067">
        <w:rPr>
          <w:rFonts w:ascii="Calibri" w:hAnsi="Calibri" w:cs="Calibri"/>
          <w:b/>
          <w:bCs/>
          <w:sz w:val="22"/>
          <w:szCs w:val="22"/>
          <w:lang w:eastAsia="zh-CN"/>
        </w:rPr>
        <w:t xml:space="preserve"> : </w:t>
      </w:r>
      <w:r w:rsidRPr="00EC4067">
        <w:rPr>
          <w:rFonts w:ascii="Calibri" w:hAnsi="Calibri" w:cs="Calibri"/>
          <w:sz w:val="22"/>
          <w:szCs w:val="22"/>
        </w:rPr>
        <w:t>Liczba sztuk: 10</w:t>
      </w:r>
    </w:p>
    <w:tbl>
      <w:tblPr>
        <w:tblW w:w="9755" w:type="dxa"/>
        <w:tblInd w:w="21" w:type="dxa"/>
        <w:tblLayout w:type="fixed"/>
        <w:tblCellMar>
          <w:left w:w="71" w:type="dxa"/>
          <w:right w:w="71" w:type="dxa"/>
        </w:tblCellMar>
        <w:tblLook w:val="04A0" w:firstRow="1" w:lastRow="0" w:firstColumn="1" w:lastColumn="0" w:noHBand="0" w:noVBand="1"/>
      </w:tblPr>
      <w:tblGrid>
        <w:gridCol w:w="543"/>
        <w:gridCol w:w="1723"/>
        <w:gridCol w:w="5074"/>
        <w:gridCol w:w="2415"/>
      </w:tblGrid>
      <w:tr w:rsidR="00A92E1C" w:rsidRPr="00EC4067" w14:paraId="573A49B3" w14:textId="77777777" w:rsidTr="00884326">
        <w:trPr>
          <w:trHeight w:val="284"/>
        </w:trPr>
        <w:tc>
          <w:tcPr>
            <w:tcW w:w="7340" w:type="dxa"/>
            <w:gridSpan w:val="3"/>
            <w:tcBorders>
              <w:top w:val="single" w:sz="4" w:space="0" w:color="00000A"/>
              <w:left w:val="single" w:sz="4" w:space="0" w:color="00000A"/>
              <w:bottom w:val="single" w:sz="4" w:space="0" w:color="00000A"/>
              <w:right w:val="single" w:sz="4" w:space="0" w:color="00000A"/>
            </w:tcBorders>
            <w:vAlign w:val="center"/>
          </w:tcPr>
          <w:p w14:paraId="79D04A69" w14:textId="77777777" w:rsidR="00A92E1C" w:rsidRPr="00EC4067" w:rsidRDefault="009357C5">
            <w:pPr>
              <w:spacing w:after="0" w:line="240" w:lineRule="auto"/>
              <w:rPr>
                <w:rFonts w:ascii="Calibri" w:hAnsi="Calibri" w:cs="Calibri"/>
                <w:sz w:val="22"/>
                <w:szCs w:val="22"/>
              </w:rPr>
            </w:pPr>
            <w:r w:rsidRPr="00EC4067">
              <w:rPr>
                <w:rFonts w:ascii="Calibri" w:hAnsi="Calibri" w:cs="Calibri"/>
                <w:b/>
                <w:sz w:val="22"/>
                <w:szCs w:val="22"/>
              </w:rPr>
              <w:t>Szczegółowy opis</w:t>
            </w:r>
          </w:p>
        </w:tc>
        <w:tc>
          <w:tcPr>
            <w:tcW w:w="2415" w:type="dxa"/>
            <w:tcBorders>
              <w:top w:val="single" w:sz="4" w:space="0" w:color="00000A"/>
              <w:left w:val="single" w:sz="4" w:space="0" w:color="00000A"/>
              <w:bottom w:val="single" w:sz="4" w:space="0" w:color="00000A"/>
              <w:right w:val="single" w:sz="4" w:space="0" w:color="00000A"/>
            </w:tcBorders>
            <w:vAlign w:val="center"/>
          </w:tcPr>
          <w:p w14:paraId="46C38E63" w14:textId="5EAB9F67" w:rsidR="00A92E1C" w:rsidRPr="00EC4067" w:rsidRDefault="009357C5">
            <w:pPr>
              <w:spacing w:after="0" w:line="240" w:lineRule="auto"/>
              <w:ind w:left="-89" w:firstLine="18"/>
              <w:jc w:val="center"/>
              <w:rPr>
                <w:rFonts w:ascii="Calibri" w:hAnsi="Calibri" w:cs="Calibri"/>
                <w:sz w:val="22"/>
                <w:szCs w:val="22"/>
              </w:rPr>
            </w:pPr>
            <w:r w:rsidRPr="00EC4067">
              <w:rPr>
                <w:rFonts w:ascii="Calibri" w:hAnsi="Calibri" w:cs="Calibri"/>
                <w:b/>
                <w:sz w:val="22"/>
                <w:szCs w:val="22"/>
              </w:rPr>
              <w:t>Parametry oferowane – opis lub potw</w:t>
            </w:r>
            <w:r w:rsidR="00884326">
              <w:rPr>
                <w:rFonts w:ascii="Calibri" w:hAnsi="Calibri" w:cs="Calibri"/>
                <w:b/>
                <w:sz w:val="22"/>
                <w:szCs w:val="22"/>
              </w:rPr>
              <w:t>i</w:t>
            </w:r>
            <w:r w:rsidRPr="00EC4067">
              <w:rPr>
                <w:rFonts w:ascii="Calibri" w:hAnsi="Calibri" w:cs="Calibri"/>
                <w:b/>
                <w:sz w:val="22"/>
                <w:szCs w:val="22"/>
              </w:rPr>
              <w:t>erdzenie [tak-nie] (wypełnia wykonawca</w:t>
            </w:r>
          </w:p>
        </w:tc>
      </w:tr>
      <w:tr w:rsidR="00A92E1C" w:rsidRPr="00EC4067" w14:paraId="03E9DA8F" w14:textId="77777777" w:rsidTr="00884326">
        <w:trPr>
          <w:trHeight w:val="284"/>
        </w:trPr>
        <w:tc>
          <w:tcPr>
            <w:tcW w:w="7340" w:type="dxa"/>
            <w:gridSpan w:val="3"/>
            <w:tcBorders>
              <w:top w:val="single" w:sz="4" w:space="0" w:color="00000A"/>
              <w:left w:val="single" w:sz="4" w:space="0" w:color="00000A"/>
              <w:bottom w:val="single" w:sz="4" w:space="0" w:color="00000A"/>
              <w:right w:val="single" w:sz="4" w:space="0" w:color="00000A"/>
            </w:tcBorders>
            <w:vAlign w:val="center"/>
          </w:tcPr>
          <w:p w14:paraId="722A3AC8"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Przedmiotem zamówienia jest zestaw komputerowy składający się z:</w:t>
            </w:r>
          </w:p>
          <w:p w14:paraId="591DF3EE" w14:textId="77777777" w:rsidR="00A92E1C" w:rsidRPr="00EC4067" w:rsidRDefault="00A92E1C">
            <w:pPr>
              <w:spacing w:after="0" w:line="240" w:lineRule="auto"/>
              <w:rPr>
                <w:rFonts w:ascii="Calibri" w:hAnsi="Calibri" w:cs="Calibri"/>
                <w:sz w:val="22"/>
                <w:szCs w:val="22"/>
              </w:rPr>
            </w:pPr>
          </w:p>
          <w:p w14:paraId="6D23D33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komputera stacjonarnego typu Small Form Factor / Slim,</w:t>
            </w:r>
          </w:p>
          <w:p w14:paraId="126BCCF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monitora biurowego,</w:t>
            </w:r>
          </w:p>
          <w:p w14:paraId="4CA1DDBE"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klawiatury USB,</w:t>
            </w:r>
          </w:p>
          <w:p w14:paraId="78C49198"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myszy USB,</w:t>
            </w:r>
          </w:p>
          <w:p w14:paraId="281270A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okablowania zasilającego i sygnałowego.</w:t>
            </w:r>
          </w:p>
          <w:p w14:paraId="66796B72" w14:textId="77777777" w:rsidR="00A92E1C" w:rsidRPr="00EC4067" w:rsidRDefault="00A92E1C">
            <w:pPr>
              <w:spacing w:after="0" w:line="240" w:lineRule="auto"/>
              <w:rPr>
                <w:rFonts w:ascii="Calibri" w:hAnsi="Calibri" w:cs="Calibri"/>
                <w:sz w:val="22"/>
                <w:szCs w:val="22"/>
              </w:rPr>
            </w:pPr>
          </w:p>
          <w:p w14:paraId="5B1BE30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Zamawiający dopuszcza zaoferowanie sprzętu równoważnego względem urządzeń referencyjnych klasy:</w:t>
            </w:r>
          </w:p>
          <w:p w14:paraId="57E0A176" w14:textId="77777777" w:rsidR="00A92E1C" w:rsidRPr="00EC4067" w:rsidRDefault="00A92E1C">
            <w:pPr>
              <w:spacing w:after="0" w:line="240" w:lineRule="auto"/>
              <w:rPr>
                <w:rFonts w:ascii="Calibri" w:hAnsi="Calibri" w:cs="Calibri"/>
                <w:sz w:val="22"/>
                <w:szCs w:val="22"/>
              </w:rPr>
            </w:pPr>
          </w:p>
          <w:p w14:paraId="5F9F0E9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Dell Pro Slim QCS1250,</w:t>
            </w:r>
          </w:p>
          <w:p w14:paraId="7400D308"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Dell Pro 24 Plus P2425H,</w:t>
            </w:r>
          </w:p>
          <w:p w14:paraId="5EACE1F9" w14:textId="77777777" w:rsidR="00A92E1C" w:rsidRPr="00EC4067" w:rsidRDefault="00A92E1C">
            <w:pPr>
              <w:spacing w:after="0" w:line="240" w:lineRule="auto"/>
              <w:rPr>
                <w:rFonts w:ascii="Calibri" w:hAnsi="Calibri" w:cs="Calibri"/>
                <w:sz w:val="22"/>
                <w:szCs w:val="22"/>
              </w:rPr>
            </w:pPr>
          </w:p>
          <w:p w14:paraId="29660844"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pod warunkiem spełnienia wszystkich minimalnych wymagań technicznych i funkcjonalnych określonych w niniejszym formularzu.</w:t>
            </w:r>
          </w:p>
          <w:p w14:paraId="4A57E761" w14:textId="77777777" w:rsidR="00A92E1C" w:rsidRPr="00EC4067" w:rsidRDefault="00A92E1C">
            <w:pPr>
              <w:spacing w:after="0" w:line="240" w:lineRule="auto"/>
              <w:rPr>
                <w:rFonts w:ascii="Calibri" w:hAnsi="Calibri" w:cs="Calibri"/>
                <w:sz w:val="22"/>
                <w:szCs w:val="22"/>
              </w:rPr>
            </w:pPr>
          </w:p>
          <w:p w14:paraId="2954437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Wskazane nazwy własne mają charakter wyłącznie referencyjny i służą określeniu standardu jakościowego, funkcjonalnego i technicznego, zgodnie z art. 99 ust. 4–6 ustawy Pzp. Zamawiający dopuszcza rozwiązania równoważne.</w:t>
            </w:r>
          </w:p>
          <w:p w14:paraId="20ABF94E" w14:textId="77777777" w:rsidR="00A92E1C" w:rsidRPr="00EC4067" w:rsidRDefault="00A92E1C">
            <w:pPr>
              <w:spacing w:after="0" w:line="240" w:lineRule="auto"/>
              <w:rPr>
                <w:rFonts w:ascii="Calibri" w:hAnsi="Calibri" w:cs="Calibri"/>
                <w:sz w:val="22"/>
                <w:szCs w:val="22"/>
              </w:rPr>
            </w:pPr>
          </w:p>
          <w:p w14:paraId="0087E21B"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W ofercie należy podać nazwę producenta, model oraz numer katalogowy oferowanego sprzętu umożliwiający jednoznaczną identyfikację oferowanej konfiguracji.</w:t>
            </w:r>
          </w:p>
          <w:p w14:paraId="77F9E53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Nie dopuszcza się modyfikacji na drodze Producent-Zamawiający.</w:t>
            </w:r>
          </w:p>
          <w:p w14:paraId="48DAA2A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Zamawiający zastrzega sobie prawo sprawdzenia pełnej zgodności parametrów oferowanego sprzętu z wymogami niniejszej SWZ.</w:t>
            </w:r>
          </w:p>
          <w:p w14:paraId="069DDC6C" w14:textId="77777777" w:rsidR="00A92E1C" w:rsidRPr="00EC4067" w:rsidRDefault="00A92E1C">
            <w:pPr>
              <w:spacing w:after="0" w:line="240" w:lineRule="auto"/>
              <w:rPr>
                <w:rFonts w:ascii="Calibri" w:hAnsi="Calibri" w:cs="Calibri"/>
                <w:sz w:val="22"/>
                <w:szCs w:val="22"/>
              </w:rPr>
            </w:pPr>
          </w:p>
        </w:tc>
        <w:tc>
          <w:tcPr>
            <w:tcW w:w="2415" w:type="dxa"/>
            <w:tcBorders>
              <w:top w:val="single" w:sz="4" w:space="0" w:color="00000A"/>
              <w:left w:val="single" w:sz="4" w:space="0" w:color="00000A"/>
              <w:bottom w:val="single" w:sz="4" w:space="0" w:color="00000A"/>
              <w:right w:val="single" w:sz="4" w:space="0" w:color="00000A"/>
            </w:tcBorders>
          </w:tcPr>
          <w:p w14:paraId="711DDE38"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lastRenderedPageBreak/>
              <w:t>Producent:</w:t>
            </w:r>
          </w:p>
          <w:p w14:paraId="21E2F305"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Model:</w:t>
            </w:r>
          </w:p>
          <w:p w14:paraId="1A91D738" w14:textId="77777777" w:rsidR="00A92E1C" w:rsidRPr="00EC4067" w:rsidRDefault="00A92E1C">
            <w:pPr>
              <w:spacing w:after="0" w:line="240" w:lineRule="auto"/>
              <w:rPr>
                <w:rFonts w:ascii="Calibri" w:hAnsi="Calibri" w:cs="Calibri"/>
                <w:sz w:val="22"/>
                <w:szCs w:val="22"/>
              </w:rPr>
            </w:pPr>
          </w:p>
          <w:p w14:paraId="67FA2EF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Numer katalogowy (numer konfiguracji lub part numer):</w:t>
            </w:r>
          </w:p>
        </w:tc>
      </w:tr>
      <w:tr w:rsidR="00A92E1C" w:rsidRPr="00EC4067" w14:paraId="4DABE531"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vAlign w:val="center"/>
          </w:tcPr>
          <w:p w14:paraId="3D726555" w14:textId="77777777" w:rsidR="00A92E1C" w:rsidRPr="00EC4067" w:rsidRDefault="009357C5">
            <w:pPr>
              <w:spacing w:after="0" w:line="240" w:lineRule="auto"/>
              <w:rPr>
                <w:rFonts w:ascii="Calibri" w:hAnsi="Calibri" w:cs="Calibri"/>
                <w:sz w:val="22"/>
                <w:szCs w:val="22"/>
              </w:rPr>
            </w:pPr>
            <w:r w:rsidRPr="00EC4067">
              <w:rPr>
                <w:rFonts w:ascii="Calibri" w:hAnsi="Calibri" w:cs="Calibri"/>
                <w:b/>
                <w:sz w:val="22"/>
                <w:szCs w:val="22"/>
              </w:rPr>
              <w:t>Lp.</w:t>
            </w:r>
          </w:p>
        </w:tc>
        <w:tc>
          <w:tcPr>
            <w:tcW w:w="1723" w:type="dxa"/>
            <w:tcBorders>
              <w:top w:val="single" w:sz="4" w:space="0" w:color="00000A"/>
              <w:left w:val="single" w:sz="4" w:space="0" w:color="00000A"/>
              <w:bottom w:val="single" w:sz="4" w:space="0" w:color="00000A"/>
              <w:right w:val="single" w:sz="4" w:space="0" w:color="00000A"/>
            </w:tcBorders>
            <w:vAlign w:val="center"/>
          </w:tcPr>
          <w:p w14:paraId="68A64F5C" w14:textId="77777777" w:rsidR="00A92E1C" w:rsidRPr="00EC4067" w:rsidRDefault="009357C5">
            <w:pPr>
              <w:spacing w:after="0" w:line="240" w:lineRule="auto"/>
              <w:rPr>
                <w:rFonts w:ascii="Calibri" w:hAnsi="Calibri" w:cs="Calibri"/>
                <w:sz w:val="22"/>
                <w:szCs w:val="22"/>
              </w:rPr>
            </w:pPr>
            <w:r w:rsidRPr="00EC4067">
              <w:rPr>
                <w:rFonts w:ascii="Calibri" w:hAnsi="Calibri" w:cs="Calibri"/>
                <w:b/>
                <w:sz w:val="22"/>
                <w:szCs w:val="22"/>
              </w:rPr>
              <w:t>Nazwa komponentu</w:t>
            </w:r>
          </w:p>
        </w:tc>
        <w:tc>
          <w:tcPr>
            <w:tcW w:w="7489" w:type="dxa"/>
            <w:gridSpan w:val="2"/>
            <w:tcBorders>
              <w:top w:val="single" w:sz="4" w:space="0" w:color="00000A"/>
              <w:left w:val="single" w:sz="4" w:space="0" w:color="00000A"/>
              <w:bottom w:val="single" w:sz="4" w:space="0" w:color="00000A"/>
              <w:right w:val="single" w:sz="4" w:space="0" w:color="00000A"/>
            </w:tcBorders>
            <w:vAlign w:val="center"/>
          </w:tcPr>
          <w:p w14:paraId="4F3F6253" w14:textId="77777777" w:rsidR="00A92E1C" w:rsidRPr="00EC4067" w:rsidRDefault="009357C5">
            <w:pPr>
              <w:spacing w:after="0" w:line="240" w:lineRule="auto"/>
              <w:rPr>
                <w:rFonts w:ascii="Calibri" w:hAnsi="Calibri" w:cs="Calibri"/>
                <w:sz w:val="22"/>
                <w:szCs w:val="22"/>
              </w:rPr>
            </w:pPr>
            <w:r w:rsidRPr="00EC4067">
              <w:rPr>
                <w:rFonts w:ascii="Calibri" w:hAnsi="Calibri" w:cs="Calibri"/>
                <w:b/>
                <w:sz w:val="22"/>
                <w:szCs w:val="22"/>
              </w:rPr>
              <w:t>Wymagane minimalne parametry techniczne komputerów</w:t>
            </w:r>
          </w:p>
        </w:tc>
      </w:tr>
      <w:tr w:rsidR="00A92E1C" w:rsidRPr="00EC4067" w14:paraId="6A61AB23"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568456E0" w14:textId="77777777" w:rsidR="00A92E1C" w:rsidRPr="00EC4067" w:rsidRDefault="00A92E1C">
            <w:pPr>
              <w:numPr>
                <w:ilvl w:val="0"/>
                <w:numId w:val="8"/>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2E05B38E"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Monitor</w:t>
            </w:r>
          </w:p>
        </w:tc>
        <w:tc>
          <w:tcPr>
            <w:tcW w:w="7489" w:type="dxa"/>
            <w:gridSpan w:val="2"/>
            <w:tcBorders>
              <w:top w:val="single" w:sz="4" w:space="0" w:color="00000A"/>
              <w:left w:val="single" w:sz="4" w:space="0" w:color="00000A"/>
              <w:bottom w:val="single" w:sz="4" w:space="0" w:color="00000A"/>
              <w:right w:val="single" w:sz="4" w:space="0" w:color="00000A"/>
            </w:tcBorders>
          </w:tcPr>
          <w:p w14:paraId="2BC622C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Matryca IPS, matowa / antyodblaskowa</w:t>
            </w:r>
          </w:p>
          <w:p w14:paraId="6B3218F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Przekątna ekranu min. 23,8”</w:t>
            </w:r>
          </w:p>
          <w:p w14:paraId="7BF4BDA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Rozdzielczość min. 1920 x 1080 (Full HD)</w:t>
            </w:r>
          </w:p>
          <w:p w14:paraId="771CAEAB"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Jasność min. 250 cd/m²</w:t>
            </w:r>
          </w:p>
          <w:p w14:paraId="2265D1D4"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Kontrast min. 1000:1</w:t>
            </w:r>
          </w:p>
          <w:p w14:paraId="372F87A9"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Kąty widzenia min. 178° / 178°</w:t>
            </w:r>
          </w:p>
          <w:p w14:paraId="35742979"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Częstotliwość odświeżania min. 75 Hz</w:t>
            </w:r>
          </w:p>
          <w:p w14:paraId="4467E0F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Czas reakcji max. 8 ms</w:t>
            </w:r>
          </w:p>
          <w:p w14:paraId="602D8385"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Ergonomiczna regulacja podstawy w zakresie minimum:</w:t>
            </w:r>
          </w:p>
          <w:p w14:paraId="4D1B7CD4" w14:textId="77777777" w:rsidR="00A92E1C" w:rsidRPr="00EC4067" w:rsidRDefault="00A92E1C">
            <w:pPr>
              <w:spacing w:after="0" w:line="240" w:lineRule="auto"/>
              <w:rPr>
                <w:rFonts w:ascii="Calibri" w:hAnsi="Calibri" w:cs="Calibri"/>
                <w:sz w:val="22"/>
                <w:szCs w:val="22"/>
              </w:rPr>
            </w:pPr>
          </w:p>
          <w:p w14:paraId="32909FFE"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regulacja wysokości,</w:t>
            </w:r>
          </w:p>
          <w:p w14:paraId="715697FB"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pochylenie,</w:t>
            </w:r>
          </w:p>
          <w:p w14:paraId="221167AE"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obrót,</w:t>
            </w:r>
          </w:p>
          <w:p w14:paraId="10C33C7B"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pivot</w:t>
            </w:r>
          </w:p>
          <w:p w14:paraId="2CF3EBFD" w14:textId="77777777" w:rsidR="00A92E1C" w:rsidRPr="00EC4067" w:rsidRDefault="00A92E1C">
            <w:pPr>
              <w:spacing w:after="0" w:line="240" w:lineRule="auto"/>
              <w:rPr>
                <w:rFonts w:ascii="Calibri" w:hAnsi="Calibri" w:cs="Calibri"/>
                <w:sz w:val="22"/>
                <w:szCs w:val="22"/>
              </w:rPr>
            </w:pPr>
          </w:p>
          <w:p w14:paraId="24B1105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Standard VESA min. 100 x 100</w:t>
            </w:r>
          </w:p>
          <w:p w14:paraId="37CBD13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Demontaż podstawy beznarzędziowy</w:t>
            </w:r>
          </w:p>
          <w:p w14:paraId="2126D486"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Monitor wyposażony w złącza min.:</w:t>
            </w:r>
          </w:p>
          <w:p w14:paraId="69B3D778" w14:textId="77777777" w:rsidR="00A92E1C" w:rsidRPr="00EC4067" w:rsidRDefault="00A92E1C">
            <w:pPr>
              <w:spacing w:after="0" w:line="240" w:lineRule="auto"/>
              <w:rPr>
                <w:rFonts w:ascii="Calibri" w:hAnsi="Calibri" w:cs="Calibri"/>
                <w:sz w:val="22"/>
                <w:szCs w:val="22"/>
              </w:rPr>
            </w:pPr>
          </w:p>
          <w:p w14:paraId="335DF8A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1 x HDMI,</w:t>
            </w:r>
          </w:p>
          <w:p w14:paraId="3719D5C5"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1 x DisplayPort,</w:t>
            </w:r>
          </w:p>
          <w:p w14:paraId="752AC6F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1 x VGA lub równoważne</w:t>
            </w:r>
          </w:p>
          <w:p w14:paraId="05211C14" w14:textId="77777777" w:rsidR="00A92E1C" w:rsidRPr="00EC4067" w:rsidRDefault="00A92E1C">
            <w:pPr>
              <w:spacing w:after="0" w:line="240" w:lineRule="auto"/>
              <w:rPr>
                <w:rFonts w:ascii="Calibri" w:hAnsi="Calibri" w:cs="Calibri"/>
                <w:sz w:val="22"/>
                <w:szCs w:val="22"/>
              </w:rPr>
            </w:pPr>
          </w:p>
          <w:p w14:paraId="623ECD0E"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Wymagany przewód sygnałowy kompatybilny z oferowanym zestawem (HDMI lub DisplayPort) – 1 szt.</w:t>
            </w:r>
          </w:p>
          <w:p w14:paraId="1E4D8F38"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Wymagany przewód zasilający – 1 szt.</w:t>
            </w:r>
          </w:p>
          <w:p w14:paraId="207C17DC" w14:textId="77777777" w:rsidR="00A92E1C" w:rsidRPr="00EC4067" w:rsidRDefault="00A92E1C">
            <w:pPr>
              <w:spacing w:after="0" w:line="240" w:lineRule="auto"/>
              <w:rPr>
                <w:rFonts w:ascii="Calibri" w:hAnsi="Calibri" w:cs="Calibri"/>
                <w:sz w:val="22"/>
                <w:szCs w:val="22"/>
              </w:rPr>
            </w:pPr>
          </w:p>
          <w:p w14:paraId="53AC1575"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Certyfikaty / funkcje:</w:t>
            </w:r>
          </w:p>
          <w:p w14:paraId="0BC00EBC" w14:textId="77777777" w:rsidR="00A92E1C" w:rsidRPr="00EC4067" w:rsidRDefault="00A92E1C">
            <w:pPr>
              <w:spacing w:after="0" w:line="240" w:lineRule="auto"/>
              <w:rPr>
                <w:rFonts w:ascii="Calibri" w:hAnsi="Calibri" w:cs="Calibri"/>
                <w:sz w:val="22"/>
                <w:szCs w:val="22"/>
              </w:rPr>
            </w:pPr>
          </w:p>
          <w:p w14:paraId="620204FB"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flicker free,</w:t>
            </w:r>
          </w:p>
          <w:p w14:paraId="0286045A"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redukcja światła niebieskiego</w:t>
            </w:r>
          </w:p>
        </w:tc>
      </w:tr>
      <w:tr w:rsidR="00A92E1C" w:rsidRPr="00EC4067" w14:paraId="11E3BE4A" w14:textId="77777777" w:rsidTr="00884326">
        <w:trPr>
          <w:trHeight w:val="1498"/>
        </w:trPr>
        <w:tc>
          <w:tcPr>
            <w:tcW w:w="543" w:type="dxa"/>
            <w:tcBorders>
              <w:top w:val="single" w:sz="4" w:space="0" w:color="00000A"/>
              <w:left w:val="single" w:sz="4" w:space="0" w:color="00000A"/>
              <w:bottom w:val="single" w:sz="4" w:space="0" w:color="00000A"/>
              <w:right w:val="single" w:sz="4" w:space="0" w:color="00000A"/>
            </w:tcBorders>
          </w:tcPr>
          <w:p w14:paraId="3FEF51A2"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5B1B7E41"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Procesor</w:t>
            </w:r>
          </w:p>
        </w:tc>
        <w:tc>
          <w:tcPr>
            <w:tcW w:w="7489" w:type="dxa"/>
            <w:gridSpan w:val="2"/>
            <w:tcBorders>
              <w:top w:val="single" w:sz="4" w:space="0" w:color="00000A"/>
              <w:left w:val="single" w:sz="4" w:space="0" w:color="00000A"/>
              <w:bottom w:val="single" w:sz="4" w:space="0" w:color="00000A"/>
              <w:right w:val="single" w:sz="4" w:space="0" w:color="00000A"/>
            </w:tcBorders>
          </w:tcPr>
          <w:p w14:paraId="48C76B9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xml:space="preserve">Procesor wielordzeniowy, minimum 14-rdzeniowy,  minimum 14-wątkowy, zaprojektowany do pracy w komputerach stacjonarnych klasy x86, o wydajności liczonej w punktach równej lub wyższej 39400 pkt wg testu CPU Mark opublikowanego na stronie </w:t>
            </w:r>
            <w:hyperlink r:id="rId8" w:tgtFrame="_top">
              <w:r w:rsidRPr="00EC4067">
                <w:rPr>
                  <w:rStyle w:val="Hipercze"/>
                  <w:rFonts w:ascii="Calibri" w:hAnsi="Calibri" w:cs="Calibri"/>
                  <w:sz w:val="22"/>
                  <w:szCs w:val="22"/>
                </w:rPr>
                <w:t>www.cpubenchmark.net</w:t>
              </w:r>
            </w:hyperlink>
            <w:r w:rsidRPr="00EC4067">
              <w:rPr>
                <w:rFonts w:ascii="Calibri" w:hAnsi="Calibri" w:cs="Calibri"/>
                <w:sz w:val="22"/>
                <w:szCs w:val="22"/>
              </w:rPr>
              <w:t xml:space="preserve"> na dzień 05.05.2026r.</w:t>
            </w:r>
          </w:p>
          <w:p w14:paraId="2578445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Wykonawca zobowiązany jest wskazać dokładny model oferowanego procesora.</w:t>
            </w:r>
            <w:r w:rsidRPr="00EC4067">
              <w:rPr>
                <w:rFonts w:ascii="Calibri" w:hAnsi="Calibri" w:cs="Calibri"/>
                <w:sz w:val="22"/>
                <w:szCs w:val="22"/>
              </w:rPr>
              <w:br/>
              <w:t>(Wynik zaproponowanego procesora musi znajdować się na w/w stronie.)</w:t>
            </w:r>
          </w:p>
        </w:tc>
      </w:tr>
      <w:tr w:rsidR="00A92E1C" w:rsidRPr="00EC4067" w14:paraId="1ECF45D8"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6907E530"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6EF04723"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Pamięć operacyjna RAM</w:t>
            </w:r>
          </w:p>
        </w:tc>
        <w:tc>
          <w:tcPr>
            <w:tcW w:w="7489" w:type="dxa"/>
            <w:gridSpan w:val="2"/>
            <w:tcBorders>
              <w:top w:val="single" w:sz="4" w:space="0" w:color="00000A"/>
              <w:left w:val="single" w:sz="4" w:space="0" w:color="00000A"/>
              <w:bottom w:val="single" w:sz="4" w:space="0" w:color="00000A"/>
              <w:right w:val="single" w:sz="4" w:space="0" w:color="00000A"/>
            </w:tcBorders>
          </w:tcPr>
          <w:p w14:paraId="12E60EB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Min. 16 GB DDR5, 6400 MT/s z możliwością rozbudowy do min. 64 GB</w:t>
            </w:r>
          </w:p>
        </w:tc>
      </w:tr>
      <w:tr w:rsidR="00A92E1C" w:rsidRPr="00EC4067" w14:paraId="548748F2"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10B72E43"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5E767C0E"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Parametry pamięci masowej</w:t>
            </w:r>
          </w:p>
        </w:tc>
        <w:tc>
          <w:tcPr>
            <w:tcW w:w="7489" w:type="dxa"/>
            <w:gridSpan w:val="2"/>
            <w:tcBorders>
              <w:top w:val="single" w:sz="4" w:space="0" w:color="00000A"/>
              <w:left w:val="single" w:sz="4" w:space="0" w:color="00000A"/>
              <w:bottom w:val="single" w:sz="4" w:space="0" w:color="00000A"/>
              <w:right w:val="single" w:sz="4" w:space="0" w:color="00000A"/>
            </w:tcBorders>
          </w:tcPr>
          <w:p w14:paraId="02821C6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Dysk SSD M.2 PCIe NVMe min. 512 GB</w:t>
            </w:r>
          </w:p>
        </w:tc>
      </w:tr>
      <w:tr w:rsidR="00A92E1C" w:rsidRPr="00EC4067" w14:paraId="7C6EB514"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65063CFD"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3B5E94EB"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Karta graficzna</w:t>
            </w:r>
          </w:p>
        </w:tc>
        <w:tc>
          <w:tcPr>
            <w:tcW w:w="7489" w:type="dxa"/>
            <w:gridSpan w:val="2"/>
            <w:tcBorders>
              <w:top w:val="single" w:sz="4" w:space="0" w:color="00000A"/>
              <w:left w:val="single" w:sz="4" w:space="0" w:color="00000A"/>
              <w:bottom w:val="single" w:sz="4" w:space="0" w:color="00000A"/>
              <w:right w:val="single" w:sz="4" w:space="0" w:color="00000A"/>
            </w:tcBorders>
          </w:tcPr>
          <w:p w14:paraId="3683E18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Zintegrowana karta graficzna wykorzystująca pamięć RAM systemu dynamicznie przydzielaną na potrzeby grafiki w trybie UMA (Unified Memory Access) – z możliwością dynamicznego przydzielenia pamięci.</w:t>
            </w:r>
          </w:p>
        </w:tc>
      </w:tr>
      <w:tr w:rsidR="00A92E1C" w:rsidRPr="00EC4067" w14:paraId="0D4A0E6E"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3E25A857"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45B7F6FC"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Obudowa komputera</w:t>
            </w:r>
          </w:p>
        </w:tc>
        <w:tc>
          <w:tcPr>
            <w:tcW w:w="7489" w:type="dxa"/>
            <w:gridSpan w:val="2"/>
            <w:tcBorders>
              <w:top w:val="single" w:sz="4" w:space="0" w:color="00000A"/>
              <w:left w:val="single" w:sz="4" w:space="0" w:color="00000A"/>
              <w:bottom w:val="single" w:sz="4" w:space="0" w:color="00000A"/>
              <w:right w:val="single" w:sz="4" w:space="0" w:color="00000A"/>
            </w:tcBorders>
          </w:tcPr>
          <w:p w14:paraId="3D8AF22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Obudowa typu Small Form Factor / Slim.</w:t>
            </w:r>
          </w:p>
          <w:p w14:paraId="1679468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Obudowa przystosowana do pracy biurowej i administracyjnej.</w:t>
            </w:r>
          </w:p>
          <w:p w14:paraId="4594240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Suma wymiarów obudowy nie większa niż 695mm.</w:t>
            </w:r>
          </w:p>
          <w:p w14:paraId="5F37F398"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Obudowa wyposażona w złącza minimum:</w:t>
            </w:r>
          </w:p>
          <w:p w14:paraId="0088E524" w14:textId="77777777" w:rsidR="00A92E1C" w:rsidRPr="00EC4067" w:rsidRDefault="00A92E1C">
            <w:pPr>
              <w:spacing w:after="0" w:line="240" w:lineRule="auto"/>
              <w:rPr>
                <w:rFonts w:ascii="Calibri" w:hAnsi="Calibri" w:cs="Calibri"/>
                <w:sz w:val="22"/>
                <w:szCs w:val="22"/>
              </w:rPr>
            </w:pPr>
          </w:p>
          <w:p w14:paraId="1ECB3E2B"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 przodu:</w:t>
            </w:r>
          </w:p>
          <w:p w14:paraId="761CB1EA" w14:textId="77777777" w:rsidR="00A92E1C" w:rsidRPr="00EC4067" w:rsidRDefault="00A92E1C">
            <w:pPr>
              <w:spacing w:after="0" w:line="240" w:lineRule="auto"/>
              <w:rPr>
                <w:rFonts w:ascii="Calibri" w:hAnsi="Calibri" w:cs="Calibri"/>
                <w:sz w:val="22"/>
                <w:szCs w:val="22"/>
              </w:rPr>
            </w:pPr>
          </w:p>
          <w:p w14:paraId="45E24F7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min. 3 x USB-A,</w:t>
            </w:r>
          </w:p>
          <w:p w14:paraId="161038D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min. 1 x USB-C,</w:t>
            </w:r>
          </w:p>
          <w:p w14:paraId="07606B9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1 x audio combo</w:t>
            </w:r>
          </w:p>
          <w:p w14:paraId="190B51A6" w14:textId="77777777" w:rsidR="00A92E1C" w:rsidRPr="00EC4067" w:rsidRDefault="00A92E1C">
            <w:pPr>
              <w:spacing w:after="0" w:line="240" w:lineRule="auto"/>
              <w:rPr>
                <w:rFonts w:ascii="Calibri" w:hAnsi="Calibri" w:cs="Calibri"/>
                <w:sz w:val="22"/>
                <w:szCs w:val="22"/>
              </w:rPr>
            </w:pPr>
          </w:p>
          <w:p w14:paraId="62481B14"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 tyłu:</w:t>
            </w:r>
          </w:p>
          <w:p w14:paraId="0343BCF0" w14:textId="77777777" w:rsidR="00A92E1C" w:rsidRPr="00EC4067" w:rsidRDefault="00A92E1C">
            <w:pPr>
              <w:spacing w:after="0" w:line="240" w:lineRule="auto"/>
              <w:rPr>
                <w:rFonts w:ascii="Calibri" w:hAnsi="Calibri" w:cs="Calibri"/>
                <w:sz w:val="22"/>
                <w:szCs w:val="22"/>
              </w:rPr>
            </w:pPr>
          </w:p>
          <w:p w14:paraId="58B4018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min. 4 x USB, w tym min 2porty w standardzie USB 3.2</w:t>
            </w:r>
          </w:p>
          <w:p w14:paraId="0CAB76A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min. 1 x HDMI,</w:t>
            </w:r>
          </w:p>
          <w:p w14:paraId="28F4CB8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min. 1 x DisplayPort,</w:t>
            </w:r>
          </w:p>
          <w:p w14:paraId="522FC29E"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1 x RJ-45</w:t>
            </w:r>
          </w:p>
        </w:tc>
      </w:tr>
      <w:tr w:rsidR="00A92E1C" w:rsidRPr="00EC4067" w14:paraId="4CF5CD50"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6D183C11"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55C55B86"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Płyta główna</w:t>
            </w:r>
          </w:p>
        </w:tc>
        <w:tc>
          <w:tcPr>
            <w:tcW w:w="7489" w:type="dxa"/>
            <w:gridSpan w:val="2"/>
            <w:tcBorders>
              <w:top w:val="single" w:sz="4" w:space="0" w:color="00000A"/>
              <w:left w:val="single" w:sz="4" w:space="0" w:color="00000A"/>
              <w:bottom w:val="single" w:sz="4" w:space="0" w:color="00000A"/>
              <w:right w:val="single" w:sz="4" w:space="0" w:color="00000A"/>
            </w:tcBorders>
          </w:tcPr>
          <w:p w14:paraId="0F550D8F" w14:textId="7565EA6B"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Płyta główna zaprojektowana i wyprodukowana na zleceni</w:t>
            </w:r>
            <w:r w:rsidR="00884326">
              <w:rPr>
                <w:rFonts w:ascii="Calibri" w:hAnsi="Calibri" w:cs="Calibri"/>
                <w:sz w:val="22"/>
                <w:szCs w:val="22"/>
              </w:rPr>
              <w:t xml:space="preserve">e </w:t>
            </w:r>
            <w:r w:rsidRPr="00EC4067">
              <w:rPr>
                <w:rFonts w:ascii="Calibri" w:hAnsi="Calibri" w:cs="Calibri"/>
                <w:sz w:val="22"/>
                <w:szCs w:val="22"/>
              </w:rPr>
              <w:t>producenta komputera, trwale oznaczona (na laminacie płyty głównej) na etapie produkcji nazwą producenta oferowanej jednostki i dedykowana dla danego urządzenia. Płyta główna wyposażona w BIOS producenta komputera, zawierający numer seryjny oraz model komputera.</w:t>
            </w:r>
          </w:p>
        </w:tc>
      </w:tr>
      <w:tr w:rsidR="00A92E1C" w:rsidRPr="00EC4067" w14:paraId="46F9DBB9"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0CD24FE8"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7B502296"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Komunikacja i łączność</w:t>
            </w:r>
          </w:p>
        </w:tc>
        <w:tc>
          <w:tcPr>
            <w:tcW w:w="7489" w:type="dxa"/>
            <w:gridSpan w:val="2"/>
            <w:tcBorders>
              <w:top w:val="single" w:sz="4" w:space="0" w:color="00000A"/>
              <w:left w:val="single" w:sz="4" w:space="0" w:color="00000A"/>
              <w:bottom w:val="single" w:sz="4" w:space="0" w:color="00000A"/>
              <w:right w:val="single" w:sz="4" w:space="0" w:color="00000A"/>
            </w:tcBorders>
          </w:tcPr>
          <w:p w14:paraId="4C4BD43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Zintegrowana karta sieciowa 10/100/1000 RJ-45</w:t>
            </w:r>
          </w:p>
          <w:p w14:paraId="141A433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Łączność bezprzewodowa:</w:t>
            </w:r>
          </w:p>
          <w:p w14:paraId="4E905B28" w14:textId="77777777" w:rsidR="00A92E1C" w:rsidRPr="00EC4067" w:rsidRDefault="00A92E1C">
            <w:pPr>
              <w:spacing w:after="0" w:line="240" w:lineRule="auto"/>
              <w:rPr>
                <w:rFonts w:ascii="Calibri" w:hAnsi="Calibri" w:cs="Calibri"/>
                <w:sz w:val="22"/>
                <w:szCs w:val="22"/>
              </w:rPr>
            </w:pPr>
          </w:p>
          <w:p w14:paraId="1305FBC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Wi-Fi 6 lub nowsze</w:t>
            </w:r>
          </w:p>
          <w:p w14:paraId="6797D60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Bluetooth 5.3 lub nowszy</w:t>
            </w:r>
          </w:p>
        </w:tc>
      </w:tr>
      <w:tr w:rsidR="00A92E1C" w:rsidRPr="00EC4067" w14:paraId="38DFE5BF"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7A6F2F9B" w14:textId="77777777" w:rsidR="00A92E1C" w:rsidRPr="00EC4067" w:rsidRDefault="00A92E1C">
            <w:pPr>
              <w:numPr>
                <w:ilvl w:val="0"/>
                <w:numId w:val="3"/>
              </w:numPr>
              <w:spacing w:after="0" w:line="240" w:lineRule="auto"/>
              <w:rPr>
                <w:rFonts w:ascii="Calibri" w:hAnsi="Calibri" w:cs="Calibri"/>
                <w:bCs/>
                <w:sz w:val="22"/>
                <w:szCs w:val="22"/>
                <w:lang w:val="en-US"/>
              </w:rPr>
            </w:pPr>
          </w:p>
        </w:tc>
        <w:tc>
          <w:tcPr>
            <w:tcW w:w="1723" w:type="dxa"/>
            <w:tcBorders>
              <w:top w:val="single" w:sz="4" w:space="0" w:color="00000A"/>
              <w:left w:val="single" w:sz="4" w:space="0" w:color="00000A"/>
              <w:bottom w:val="single" w:sz="4" w:space="0" w:color="00000A"/>
              <w:right w:val="single" w:sz="4" w:space="0" w:color="00000A"/>
            </w:tcBorders>
          </w:tcPr>
          <w:p w14:paraId="168240A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Bezpieczeństwo</w:t>
            </w:r>
          </w:p>
        </w:tc>
        <w:tc>
          <w:tcPr>
            <w:tcW w:w="7489" w:type="dxa"/>
            <w:gridSpan w:val="2"/>
            <w:tcBorders>
              <w:top w:val="single" w:sz="4" w:space="0" w:color="00000A"/>
              <w:left w:val="single" w:sz="4" w:space="0" w:color="00000A"/>
              <w:bottom w:val="single" w:sz="4" w:space="0" w:color="00000A"/>
              <w:right w:val="single" w:sz="4" w:space="0" w:color="00000A"/>
            </w:tcBorders>
          </w:tcPr>
          <w:p w14:paraId="1DF60295"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TPM 2.0</w:t>
            </w:r>
          </w:p>
          <w:p w14:paraId="01CDDA69"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Secure Boot</w:t>
            </w:r>
          </w:p>
          <w:p w14:paraId="51409E2C"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Slot zabezpieczenia Kensington lub równoważny</w:t>
            </w:r>
          </w:p>
          <w:p w14:paraId="3700E863"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lang w:val="en-US"/>
              </w:rPr>
              <w:t>Partycja recovery / mechanizm odtwarzania system</w:t>
            </w:r>
          </w:p>
        </w:tc>
      </w:tr>
      <w:tr w:rsidR="00A92E1C" w:rsidRPr="00EC4067" w14:paraId="38CB55C3"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007DAAAE"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700983F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BIOS</w:t>
            </w:r>
          </w:p>
        </w:tc>
        <w:tc>
          <w:tcPr>
            <w:tcW w:w="7489" w:type="dxa"/>
            <w:gridSpan w:val="2"/>
            <w:tcBorders>
              <w:top w:val="single" w:sz="4" w:space="0" w:color="00000A"/>
              <w:left w:val="single" w:sz="4" w:space="0" w:color="00000A"/>
              <w:bottom w:val="single" w:sz="4" w:space="0" w:color="00000A"/>
              <w:right w:val="single" w:sz="4" w:space="0" w:color="00000A"/>
            </w:tcBorders>
          </w:tcPr>
          <w:p w14:paraId="381881C2"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Pełna obsługa BIOS za pomocą klawiatury i myszy oraz samej myszy. Możliwość, bez uruchamiania systemu operacyjnego z dysku twardego komputera, bez dodatkowego oprogramowania z zewnętrznych i podłączonych do niego urządzeń zewnętrznych odczytania z BIOS informacji o:</w:t>
            </w:r>
          </w:p>
          <w:p w14:paraId="1F36CB91"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numer seryjny,</w:t>
            </w:r>
          </w:p>
          <w:p w14:paraId="142C3639"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wersji BIOS,</w:t>
            </w:r>
          </w:p>
          <w:p w14:paraId="7F28D330"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dacie produkcji BIOS</w:t>
            </w:r>
          </w:p>
          <w:p w14:paraId="5C3AD844"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zainstalowanym procesorze, jego taktowaniu i ilości rdzeni</w:t>
            </w:r>
          </w:p>
          <w:p w14:paraId="58877E0C"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ilości pamięci RAM wraz z taktowaniem,</w:t>
            </w:r>
          </w:p>
          <w:p w14:paraId="60FB67ED"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dyskach podłączonych do portów SATA oraz M.2</w:t>
            </w:r>
          </w:p>
          <w:p w14:paraId="27CED993" w14:textId="77777777" w:rsidR="00A92E1C" w:rsidRPr="00EC4067" w:rsidRDefault="00A92E1C">
            <w:pPr>
              <w:spacing w:after="0" w:line="240" w:lineRule="auto"/>
              <w:rPr>
                <w:rFonts w:ascii="Calibri" w:hAnsi="Calibri" w:cs="Calibri"/>
                <w:bCs/>
                <w:sz w:val="22"/>
                <w:szCs w:val="22"/>
              </w:rPr>
            </w:pPr>
          </w:p>
          <w:p w14:paraId="457D9426"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Możliwość z poziomu Bios:</w:t>
            </w:r>
          </w:p>
          <w:p w14:paraId="7DA95509"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wyłączenia/włączenia portów USB zarówno z przodu jak i z tyłu obudowy</w:t>
            </w:r>
          </w:p>
          <w:p w14:paraId="6430354D"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wyłączenia portu SATA,</w:t>
            </w:r>
          </w:p>
          <w:p w14:paraId="2879AEB4"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wyłączenia karty sieciowej,</w:t>
            </w:r>
          </w:p>
          <w:p w14:paraId="5F300029"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wyłączenia karty audio</w:t>
            </w:r>
          </w:p>
          <w:p w14:paraId="4F831DC1"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wyłączenia funkcji Wake on LAN</w:t>
            </w:r>
          </w:p>
          <w:p w14:paraId="74194E6D"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wyłączenia wirtualizacji</w:t>
            </w:r>
          </w:p>
          <w:p w14:paraId="09E29939"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wyłączenia modułu TPM</w:t>
            </w:r>
          </w:p>
          <w:p w14:paraId="551CC94B"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możliwość ustawienia portów USB w jednym z dwóch trybów:</w:t>
            </w:r>
          </w:p>
          <w:p w14:paraId="4C6314D1"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użytkownik może kopiować dane z urządzenia pamięci masowej podłączonego do pamięci USB na komputer ale nie może kopiować danych z komputera na urządzenia pamięci masowej podłączone do portu USB</w:t>
            </w:r>
          </w:p>
          <w:p w14:paraId="10227636"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użytkownik nie może kopiować danych z urządzenia pamięci masowej podłączonego do portu USB na komputer oraz nie może kopiować danych z komputera na urządzenia pamięci masowej</w:t>
            </w:r>
          </w:p>
          <w:p w14:paraId="151DB8C2" w14:textId="77777777" w:rsidR="00A92E1C" w:rsidRPr="00EC4067" w:rsidRDefault="00A92E1C">
            <w:pPr>
              <w:spacing w:after="0" w:line="240" w:lineRule="auto"/>
              <w:rPr>
                <w:rFonts w:ascii="Calibri" w:hAnsi="Calibri" w:cs="Calibri"/>
                <w:bCs/>
                <w:sz w:val="22"/>
                <w:szCs w:val="22"/>
              </w:rPr>
            </w:pPr>
          </w:p>
          <w:p w14:paraId="3045945D"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ustawienia hasła: administratora, Power-On, dysku twardego,</w:t>
            </w:r>
          </w:p>
          <w:p w14:paraId="78597BDD"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zdefiniowania sekwencji bootowania</w:t>
            </w:r>
          </w:p>
          <w:p w14:paraId="1BF1C373"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załadowania optymalnych ustawień Bios</w:t>
            </w:r>
          </w:p>
          <w:p w14:paraId="24E3D77D"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bez uruchamiania systemu operacyjnego z dysku twardego komputera lub innych, podłączonych do niego, urządzeń zewnętrznych.</w:t>
            </w:r>
          </w:p>
          <w:p w14:paraId="53CE9F8A" w14:textId="77777777" w:rsidR="00A92E1C" w:rsidRPr="00EC4067" w:rsidRDefault="00A92E1C">
            <w:pPr>
              <w:spacing w:after="0" w:line="240" w:lineRule="auto"/>
              <w:rPr>
                <w:rFonts w:ascii="Calibri" w:hAnsi="Calibri" w:cs="Calibri"/>
                <w:sz w:val="22"/>
                <w:szCs w:val="22"/>
              </w:rPr>
            </w:pPr>
          </w:p>
        </w:tc>
      </w:tr>
      <w:tr w:rsidR="00A92E1C" w:rsidRPr="00EC4067" w14:paraId="3792B7FD"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6BA5F181"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582ECFA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System Diagnostyczny</w:t>
            </w:r>
          </w:p>
        </w:tc>
        <w:tc>
          <w:tcPr>
            <w:tcW w:w="7489" w:type="dxa"/>
            <w:gridSpan w:val="2"/>
            <w:tcBorders>
              <w:top w:val="single" w:sz="4" w:space="0" w:color="00000A"/>
              <w:left w:val="single" w:sz="4" w:space="0" w:color="00000A"/>
              <w:bottom w:val="single" w:sz="4" w:space="0" w:color="00000A"/>
              <w:right w:val="single" w:sz="4" w:space="0" w:color="00000A"/>
            </w:tcBorders>
          </w:tcPr>
          <w:p w14:paraId="16E057B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xml:space="preserve">Zaimplementowany w BIOS system diagnostyczny z graficznym interfejsem użytkownika dostępny z poziomu szybkiego menu boot umożliwiający jednoczesne przetestowanie w celu wykrycia błędów zainstalowanych komponentów w oferowanym komputerze bez konieczności uruchamiania systemu operacyjnego. </w:t>
            </w:r>
          </w:p>
        </w:tc>
      </w:tr>
      <w:tr w:rsidR="00A92E1C" w:rsidRPr="00EC4067" w14:paraId="2910A3E0"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12A945F2"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02ED1103"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Klawiatura</w:t>
            </w:r>
          </w:p>
        </w:tc>
        <w:tc>
          <w:tcPr>
            <w:tcW w:w="7489" w:type="dxa"/>
            <w:gridSpan w:val="2"/>
            <w:tcBorders>
              <w:top w:val="single" w:sz="4" w:space="0" w:color="00000A"/>
              <w:left w:val="single" w:sz="4" w:space="0" w:color="00000A"/>
              <w:bottom w:val="single" w:sz="4" w:space="0" w:color="00000A"/>
              <w:right w:val="single" w:sz="4" w:space="0" w:color="00000A"/>
            </w:tcBorders>
          </w:tcPr>
          <w:p w14:paraId="5BB2472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Klawiatura bezprzewodowa, układ polski programisty (QWERTY PL), producenta komputera lub równoważna – 1 szt.</w:t>
            </w:r>
          </w:p>
          <w:p w14:paraId="615F88D1" w14:textId="77777777" w:rsidR="00A92E1C" w:rsidRPr="00EC4067" w:rsidRDefault="00A92E1C">
            <w:pPr>
              <w:spacing w:after="0" w:line="240" w:lineRule="auto"/>
              <w:rPr>
                <w:rFonts w:ascii="Calibri" w:hAnsi="Calibri" w:cs="Calibri"/>
                <w:sz w:val="22"/>
                <w:szCs w:val="22"/>
              </w:rPr>
            </w:pPr>
          </w:p>
        </w:tc>
      </w:tr>
      <w:tr w:rsidR="00A92E1C" w:rsidRPr="00EC4067" w14:paraId="0F52EDCF"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7E6B9C11"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014F3443"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Mysz</w:t>
            </w:r>
          </w:p>
        </w:tc>
        <w:tc>
          <w:tcPr>
            <w:tcW w:w="7489" w:type="dxa"/>
            <w:gridSpan w:val="2"/>
            <w:tcBorders>
              <w:top w:val="single" w:sz="4" w:space="0" w:color="00000A"/>
              <w:left w:val="single" w:sz="4" w:space="0" w:color="00000A"/>
              <w:bottom w:val="single" w:sz="4" w:space="0" w:color="00000A"/>
              <w:right w:val="single" w:sz="4" w:space="0" w:color="00000A"/>
            </w:tcBorders>
          </w:tcPr>
          <w:p w14:paraId="56949A06"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Mysz optyczna USB z rolką, bezprzewodowa, producenta komputera lub równoważna – 1 szt.</w:t>
            </w:r>
          </w:p>
          <w:p w14:paraId="1DE5AE0D" w14:textId="77777777" w:rsidR="00A92E1C" w:rsidRPr="00EC4067" w:rsidRDefault="00A92E1C">
            <w:pPr>
              <w:spacing w:after="0" w:line="240" w:lineRule="auto"/>
              <w:rPr>
                <w:rFonts w:ascii="Calibri" w:hAnsi="Calibri" w:cs="Calibri"/>
                <w:sz w:val="22"/>
                <w:szCs w:val="22"/>
              </w:rPr>
            </w:pPr>
          </w:p>
        </w:tc>
      </w:tr>
      <w:tr w:rsidR="00A92E1C" w:rsidRPr="00EC4067" w14:paraId="6C68F03E"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7B79E3CE"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0E254C3A"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System operacyjny</w:t>
            </w:r>
          </w:p>
        </w:tc>
        <w:tc>
          <w:tcPr>
            <w:tcW w:w="7489" w:type="dxa"/>
            <w:gridSpan w:val="2"/>
            <w:tcBorders>
              <w:top w:val="single" w:sz="4" w:space="0" w:color="00000A"/>
              <w:left w:val="single" w:sz="4" w:space="0" w:color="00000A"/>
              <w:bottom w:val="single" w:sz="4" w:space="0" w:color="00000A"/>
              <w:right w:val="single" w:sz="4" w:space="0" w:color="00000A"/>
            </w:tcBorders>
          </w:tcPr>
          <w:p w14:paraId="47EA003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Microsoft Windows 11 Pro 64 bit lub system operacyjny klasy PC, który spełnia następujące wymagania poprzez wbudowane mechanizmy, bez użycia dodatkowych aplikacji:</w:t>
            </w:r>
          </w:p>
          <w:p w14:paraId="77184D0C"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 Dostępne dwa rodzaje graficznego interfejsu użytkownika:</w:t>
            </w:r>
          </w:p>
          <w:p w14:paraId="7A50AF3B"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a. Klasyczny, umożliwiający obsługę przy pomocy klawiatury i myszy,</w:t>
            </w:r>
          </w:p>
          <w:p w14:paraId="045F5D9A"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b. Dotykowy umożliwiający sterowanie dotykiem na urządzeniach typu tablet lub monitorach dotykowych</w:t>
            </w:r>
          </w:p>
          <w:p w14:paraId="59969777"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 Funkcje związane z obsługą komputerów typu tablet, z wbudowanym modułem „uczenia się” pisma użytkownika – obsługa języka polskiego</w:t>
            </w:r>
          </w:p>
          <w:p w14:paraId="013D84C1"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 Interfejs użytkownika dostępny w wielu językach do wyboru – w tym polskim i angielskim</w:t>
            </w:r>
          </w:p>
          <w:p w14:paraId="301A8F65"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4. Możliwość tworzenia pulpitów wirtualnych, przenoszenia aplikacji pomiędzy pulpitami i przełączanie się pomiędzy pulpitami za pomocą skrótów klawiaturowych lub GUI.</w:t>
            </w:r>
          </w:p>
          <w:p w14:paraId="05FBE0C6"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5. Wbudowane w system operacyjny minimum dwie przeglądarki Internetowe</w:t>
            </w:r>
          </w:p>
          <w:p w14:paraId="2AEACB0F"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6. 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14:paraId="0C7CC659"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7. Zlokalizowane w języku polskim, co najmniej następujące elementy: menu, pomoc, komunikaty systemowe, menedżer plików.</w:t>
            </w:r>
          </w:p>
          <w:p w14:paraId="29D1EF88"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8. Graficzne środowisko instalacji i konfiguracji dostępne w języku polskim</w:t>
            </w:r>
          </w:p>
          <w:p w14:paraId="75DEF029"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9. Wbudowany system pomocy w języku polskim.</w:t>
            </w:r>
          </w:p>
          <w:p w14:paraId="04B03C7D"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10. Możliwość przystosowania stanowiska dla osób niepełnosprawnych (np. słabo widzących).</w:t>
            </w:r>
          </w:p>
          <w:p w14:paraId="780D2C59"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11. Możliwość dokonywania aktualizacji i poprawek systemu poprzez mechanizm zarządzany przez administratora systemu Zamawiającego.</w:t>
            </w:r>
          </w:p>
          <w:p w14:paraId="2C6B413A"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12. Możliwość dostarczania poprawek do systemu operacyjnego w modelu peer-to-peer.</w:t>
            </w:r>
          </w:p>
          <w:p w14:paraId="29B22151"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13. Możliwość sterowania czasem dostarczania nowych wersji systemu operacyjnego, możliwość centralnego opóźniania dostarczania nowej wersji o minimum 4 miesiące.</w:t>
            </w:r>
          </w:p>
          <w:p w14:paraId="31B4F2B3"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14. Zabezpieczony hasłem hierarchiczny dostęp do systemu, konta i profile użytkowników zarządzane zdalnie; praca systemu w trybie ochrony kont użytkowników.</w:t>
            </w:r>
          </w:p>
          <w:p w14:paraId="05CF8171"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15. Możliwość dołączenia systemu do usługi katalogowej on-premise lub w chmurze.</w:t>
            </w:r>
          </w:p>
          <w:p w14:paraId="04A57950"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16. Umożliwienie zablokowania urządzenia w ramach danego konta tylko do uruchamiania wybranej aplikacji - tryb "kiosk".</w:t>
            </w:r>
          </w:p>
          <w:p w14:paraId="5B2B9A73"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17. 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14:paraId="32D103F2"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18. Zdalna pomoc i współdzielenie aplikacji – możliwość zdalnego przejęcia sesji zalogowanego użytkownika celem rozwiązania problemu z komputerem.</w:t>
            </w:r>
          </w:p>
          <w:p w14:paraId="17913069"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19. Transakcyjny system plików pozwalający na stosowanie przydziałów (ang. quota) na dysku dla użytkowników oraz zapewniający większą niezawodność i pozwalający tworzyć kopie zapasowe.</w:t>
            </w:r>
          </w:p>
          <w:p w14:paraId="37FAE949"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20. Oprogramowanie dla tworzenia kopii zapasowych (Backup); automatyczne wykonywanie kopii plików z możliwością automatycznego przywrócenia wersji wcześniejszej.</w:t>
            </w:r>
          </w:p>
          <w:p w14:paraId="2FD477C0"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21. Możliwość przywracania obrazu plików systemowych do uprzednio zapisanej postaci.</w:t>
            </w:r>
          </w:p>
          <w:p w14:paraId="0502DF9D"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22. Możliwość przywracania systemu operacyjnego do stanu początkowego z pozostawieniem plików użytkownika.</w:t>
            </w:r>
          </w:p>
          <w:p w14:paraId="5A493BDC"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23. Możliwość blokowania lub dopuszczania dowolnych urządzeń peryferyjnych za pomocą polityk grupowych (np. przy użyciu numerów identyfikacyjnych sprzętu)."</w:t>
            </w:r>
          </w:p>
          <w:p w14:paraId="468A5F1B"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24. Wbudowany mechanizm wirtualizacji typu hypervisor."</w:t>
            </w:r>
          </w:p>
          <w:p w14:paraId="456F7622"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25. Wbudowana możliwość zdalnego dostępu do systemu i pracy zdalnej z wykorzystaniem pełnego interfejsu graficznego.</w:t>
            </w:r>
          </w:p>
          <w:p w14:paraId="6013E2B2"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26. Dostępność bezpłatnych biuletynów bezpieczeństwa związanych z działaniem systemu operacyjnego.</w:t>
            </w:r>
          </w:p>
          <w:p w14:paraId="75ECB987"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27. Wbudowana zapora internetowa (firewall) dla ochrony połączeń internetowych, zintegrowana z systemem konsola do zarządzania ustawieniami zapory i regułami IP v4 i v6.</w:t>
            </w:r>
          </w:p>
          <w:p w14:paraId="15965B58"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28. 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443AF6A4"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29. Możliwość zdefiniowania zarządzanych aplikacji w taki sposób aby automatycznie szyfrowały pliki na poziomie systemu plików. Blokowanie bezpośredniego kopiowania treści między aplikacjami zarządzanymi a niezarządzanymi.</w:t>
            </w:r>
          </w:p>
          <w:p w14:paraId="2514C9D8"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30. Wbudowany system uwierzytelnienia dwuskładnikowego oparty o certyfikat lub klucz prywatny oraz PIN lub uwierzytelnienie biometryczne.</w:t>
            </w:r>
          </w:p>
          <w:p w14:paraId="29903C43"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31. Wbudowane mechanizmy ochrony antywirusowej i przeciw złośliwemu oprogramowaniu z zapewnionymi bezpłatnymi aktualizacjami.</w:t>
            </w:r>
          </w:p>
          <w:p w14:paraId="1D64932F"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32. Wbudowany system szyfrowania dysku twardego ze wsparciem modułu TPM</w:t>
            </w:r>
          </w:p>
          <w:p w14:paraId="366F386F"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33. Możliwość tworzenia i przechowywania kopii zapasowych kluczy odzyskiwania do szyfrowania dysku w usługach katalogowych.</w:t>
            </w:r>
          </w:p>
          <w:p w14:paraId="63D4C34D"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34. Możliwość tworzenia wirtualnych kart inteligentnych.</w:t>
            </w:r>
          </w:p>
          <w:p w14:paraId="74555E06"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35. Wsparcie dla firmware UEFI i funkcji bezpiecznego rozruchu (Secure Boot)</w:t>
            </w:r>
          </w:p>
          <w:p w14:paraId="0A051274"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36. Wbudowany w system, wykorzystywany automatycznie przez wbudowane przeglądarki filtr reputacyjny URL.</w:t>
            </w:r>
          </w:p>
          <w:p w14:paraId="7FA1B2CB"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37. Wsparcie dla IPSEC oparte na politykach – wdrażanie IPSEC oparte na zestawach reguł definiujących ustawienia zarządzanych w sposób centralny.</w:t>
            </w:r>
          </w:p>
          <w:p w14:paraId="795520F6"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38. Mechanizmy logowania w oparciu o:</w:t>
            </w:r>
          </w:p>
          <w:p w14:paraId="51DE6A16"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a. Login i hasło,</w:t>
            </w:r>
          </w:p>
          <w:p w14:paraId="5C98BD69"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b. Karty inteligentne i certyfikaty (smartcard),</w:t>
            </w:r>
          </w:p>
          <w:p w14:paraId="6AA742CD"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c. Wirtualne karty inteligentne i certyfikaty (logowanie w oparciu o certyfikat chroniony poprzez moduł TPM),</w:t>
            </w:r>
          </w:p>
          <w:p w14:paraId="2DBAB4A0"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d. Certyfikat/Klucz i PIN</w:t>
            </w:r>
          </w:p>
          <w:p w14:paraId="6EB02528"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e. Certyfikat/Klucz i uwierzytelnienie biometryczne</w:t>
            </w:r>
          </w:p>
          <w:p w14:paraId="768E50DC"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39. Wsparcie dla uwierzytelniania na bazie Kerberos v. 5</w:t>
            </w:r>
          </w:p>
          <w:p w14:paraId="4CC10653"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40. Wbudowany agent do zbierania danych na temat zagrożeń na stacji roboczej.</w:t>
            </w:r>
          </w:p>
          <w:p w14:paraId="241C887A"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41. Wsparcie .NET Framework 2.x, 3.x i 4.x – możliwość uruchomienia aplikacji działających we wskazanych środowiskach</w:t>
            </w:r>
          </w:p>
          <w:p w14:paraId="75AC807E"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42. Wsparcie dla VBScript – możliwość uruchamiania interpretera poleceń</w:t>
            </w:r>
          </w:p>
          <w:p w14:paraId="75CA493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43. Wsparcie dla PowerShell 5.x – możliwość uruchamiania interpretera poleceń</w:t>
            </w:r>
          </w:p>
        </w:tc>
      </w:tr>
      <w:tr w:rsidR="00A92E1C" w:rsidRPr="00EC4067" w14:paraId="2764F7B1"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10D56C31"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66A45C67"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Pakiet biurowy</w:t>
            </w:r>
          </w:p>
        </w:tc>
        <w:tc>
          <w:tcPr>
            <w:tcW w:w="7489" w:type="dxa"/>
            <w:gridSpan w:val="2"/>
            <w:tcBorders>
              <w:top w:val="single" w:sz="4" w:space="0" w:color="00000A"/>
              <w:left w:val="single" w:sz="4" w:space="0" w:color="00000A"/>
              <w:bottom w:val="single" w:sz="4" w:space="0" w:color="00000A"/>
              <w:right w:val="single" w:sz="4" w:space="0" w:color="00000A"/>
            </w:tcBorders>
          </w:tcPr>
          <w:p w14:paraId="4A79DBF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Pakiet biurowy w polskiej wersji językowej, licencja komercyjna, bezterminowa (wieczysta), niewymagająca odnawiania ani opłat abonamentowych.</w:t>
            </w:r>
          </w:p>
          <w:p w14:paraId="3FF993CA"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Pakiet musi zawierać co najmniej:</w:t>
            </w:r>
          </w:p>
          <w:p w14:paraId="64A7712A" w14:textId="77777777" w:rsidR="00A92E1C" w:rsidRPr="00EC4067" w:rsidRDefault="00A92E1C">
            <w:pPr>
              <w:spacing w:after="0" w:line="240" w:lineRule="auto"/>
              <w:rPr>
                <w:rFonts w:ascii="Calibri" w:hAnsi="Calibri" w:cs="Calibri"/>
                <w:sz w:val="22"/>
                <w:szCs w:val="22"/>
              </w:rPr>
            </w:pPr>
          </w:p>
          <w:p w14:paraId="06AD4EB9"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edytor tekstu,</w:t>
            </w:r>
          </w:p>
          <w:p w14:paraId="41B1C95A"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arkusz kalkulacyjny,</w:t>
            </w:r>
          </w:p>
          <w:p w14:paraId="5C8659B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program do tworzenia prezentacji,</w:t>
            </w:r>
          </w:p>
          <w:p w14:paraId="292D6B8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program pocztowy.</w:t>
            </w:r>
          </w:p>
          <w:p w14:paraId="4E83A310" w14:textId="77777777" w:rsidR="00A92E1C" w:rsidRPr="00EC4067" w:rsidRDefault="00A92E1C">
            <w:pPr>
              <w:spacing w:after="0" w:line="240" w:lineRule="auto"/>
              <w:rPr>
                <w:rFonts w:ascii="Calibri" w:hAnsi="Calibri" w:cs="Calibri"/>
                <w:sz w:val="22"/>
                <w:szCs w:val="22"/>
              </w:rPr>
            </w:pPr>
          </w:p>
          <w:p w14:paraId="2B138869"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Pakiet biurowy musi być nowy, nieużywany, nigdy wcześniej nieaktywowany oraz posiadać licencję umożliwiającą użytkowanie komercyjne.</w:t>
            </w:r>
          </w:p>
        </w:tc>
      </w:tr>
      <w:tr w:rsidR="00A92E1C" w:rsidRPr="00EC4067" w14:paraId="3CFBB8E4"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677F0914"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0F8C44EC" w14:textId="77777777" w:rsidR="00A92E1C" w:rsidRPr="00EC4067" w:rsidRDefault="009357C5">
            <w:pPr>
              <w:spacing w:after="0" w:line="240" w:lineRule="auto"/>
              <w:rPr>
                <w:rFonts w:ascii="Calibri" w:hAnsi="Calibri" w:cs="Calibri"/>
                <w:bCs/>
                <w:sz w:val="22"/>
                <w:szCs w:val="22"/>
              </w:rPr>
            </w:pPr>
            <w:r w:rsidRPr="00EC4067">
              <w:rPr>
                <w:rFonts w:ascii="Calibri" w:hAnsi="Calibri" w:cs="Calibri"/>
                <w:bCs/>
                <w:sz w:val="22"/>
                <w:szCs w:val="22"/>
              </w:rPr>
              <w:t>Gwarancja</w:t>
            </w:r>
          </w:p>
        </w:tc>
        <w:tc>
          <w:tcPr>
            <w:tcW w:w="7489" w:type="dxa"/>
            <w:gridSpan w:val="2"/>
            <w:tcBorders>
              <w:top w:val="single" w:sz="4" w:space="0" w:color="00000A"/>
              <w:left w:val="single" w:sz="4" w:space="0" w:color="00000A"/>
              <w:bottom w:val="single" w:sz="4" w:space="0" w:color="00000A"/>
              <w:right w:val="single" w:sz="4" w:space="0" w:color="00000A"/>
            </w:tcBorders>
          </w:tcPr>
          <w:p w14:paraId="133CC07E"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Minimalny czas trwania wsparcia technicznego producenta wynosi 36 miesięcy. W przypadku naprawy dysków twardych, uszkodzony dysk zostaje u zamawiającego.</w:t>
            </w:r>
          </w:p>
          <w:p w14:paraId="1CB1627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Naprawa jednostki głównej (komputera) w trybie on-site, z kolei monitora w trybie door-to-door.</w:t>
            </w:r>
          </w:p>
          <w:p w14:paraId="5C1A3329" w14:textId="77777777" w:rsidR="00A92E1C" w:rsidRPr="00EC4067" w:rsidRDefault="00A92E1C">
            <w:pPr>
              <w:spacing w:after="0" w:line="240" w:lineRule="auto"/>
              <w:rPr>
                <w:rFonts w:ascii="Calibri" w:hAnsi="Calibri" w:cs="Calibri"/>
                <w:sz w:val="22"/>
                <w:szCs w:val="22"/>
              </w:rPr>
            </w:pPr>
          </w:p>
          <w:p w14:paraId="742988E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Firma serwisująca musi posiadać certyfikat ISO 9001 na świadczenie usług serwisowych oraz posiadać autoryzacje producenta urządzeń.</w:t>
            </w:r>
          </w:p>
          <w:p w14:paraId="78750989"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Dopuszcza się przedstawienie równoważnych certyfikatów potwierdzających spełnianie wymogów w zakresie jakości i ochrony środowiska</w:t>
            </w:r>
          </w:p>
        </w:tc>
      </w:tr>
      <w:tr w:rsidR="00A92E1C" w:rsidRPr="00EC4067" w14:paraId="7D44DFF6"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1FF0E0DE"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76EF568C"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Wsparcie techniczne producenta</w:t>
            </w:r>
          </w:p>
        </w:tc>
        <w:tc>
          <w:tcPr>
            <w:tcW w:w="7489" w:type="dxa"/>
            <w:gridSpan w:val="2"/>
            <w:tcBorders>
              <w:top w:val="single" w:sz="4" w:space="0" w:color="00000A"/>
              <w:left w:val="single" w:sz="4" w:space="0" w:color="00000A"/>
              <w:bottom w:val="single" w:sz="4" w:space="0" w:color="00000A"/>
              <w:right w:val="single" w:sz="4" w:space="0" w:color="00000A"/>
            </w:tcBorders>
          </w:tcPr>
          <w:p w14:paraId="56D83803"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Zaawansowana diagnostyka sprzętowa oraz oprogramowania dostępna 24h/dobę na stronie producenta komputera</w:t>
            </w:r>
          </w:p>
          <w:p w14:paraId="3FE9AE5F"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Infolinia wsparcia technicznego dedykowana do rozwiązywania usterek – możliwość kontaktu przez telefon, formularz web lub chat online.</w:t>
            </w:r>
          </w:p>
          <w:p w14:paraId="02D33FD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xml:space="preserve">Możliwość sprawdzenia konfiguracji sprzętowej komputera oraz warunków gwarancji </w:t>
            </w:r>
            <w:r w:rsidRPr="00EC4067">
              <w:rPr>
                <w:rFonts w:ascii="Calibri" w:hAnsi="Calibri" w:cs="Calibri"/>
                <w:bCs/>
                <w:sz w:val="22"/>
                <w:szCs w:val="22"/>
              </w:rPr>
              <w:t>bezpośrednio na stronie producenta</w:t>
            </w:r>
            <w:r w:rsidRPr="00EC4067">
              <w:rPr>
                <w:rFonts w:ascii="Calibri" w:hAnsi="Calibri" w:cs="Calibri"/>
                <w:sz w:val="22"/>
                <w:szCs w:val="22"/>
              </w:rPr>
              <w:t>.</w:t>
            </w:r>
          </w:p>
        </w:tc>
      </w:tr>
      <w:tr w:rsidR="00A92E1C" w:rsidRPr="00EC4067" w14:paraId="58397D46"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5650DDCC"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7759CE92" w14:textId="77777777" w:rsidR="00A92E1C" w:rsidRPr="00EC4067" w:rsidRDefault="009357C5">
            <w:pPr>
              <w:tabs>
                <w:tab w:val="left" w:pos="213"/>
              </w:tabs>
              <w:spacing w:after="0" w:line="240" w:lineRule="auto"/>
              <w:jc w:val="both"/>
              <w:rPr>
                <w:rFonts w:ascii="Calibri" w:hAnsi="Calibri" w:cs="Calibri"/>
                <w:sz w:val="22"/>
                <w:szCs w:val="22"/>
              </w:rPr>
            </w:pPr>
            <w:r w:rsidRPr="00EC4067">
              <w:rPr>
                <w:rFonts w:ascii="Calibri" w:hAnsi="Calibri" w:cs="Calibri"/>
                <w:bCs/>
                <w:sz w:val="22"/>
                <w:szCs w:val="22"/>
              </w:rPr>
              <w:t>Wymagania dodatkowe</w:t>
            </w:r>
          </w:p>
        </w:tc>
        <w:tc>
          <w:tcPr>
            <w:tcW w:w="7489" w:type="dxa"/>
            <w:gridSpan w:val="2"/>
            <w:tcBorders>
              <w:top w:val="single" w:sz="4" w:space="0" w:color="00000A"/>
              <w:left w:val="single" w:sz="4" w:space="0" w:color="00000A"/>
              <w:bottom w:val="single" w:sz="4" w:space="0" w:color="00000A"/>
              <w:right w:val="single" w:sz="4" w:space="0" w:color="00000A"/>
            </w:tcBorders>
          </w:tcPr>
          <w:p w14:paraId="4B56B3B8"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Zamawiający zastrzega sobie prawo sprawdzenia pełnej zgodności parametrów oferowanego sprzętu z wymogami niniejszej SIWZ. Zamawiający zastrzega sobie prawo do sprawdzenia reżimu gwarancyjnego oraz dostarczonej konfiguracji na dedykowanej stronie internetowej producenta.</w:t>
            </w:r>
          </w:p>
        </w:tc>
      </w:tr>
      <w:tr w:rsidR="00A92E1C" w:rsidRPr="00EC4067" w14:paraId="4A92D8CD" w14:textId="77777777" w:rsidTr="00884326">
        <w:trPr>
          <w:trHeight w:val="284"/>
        </w:trPr>
        <w:tc>
          <w:tcPr>
            <w:tcW w:w="543" w:type="dxa"/>
            <w:tcBorders>
              <w:top w:val="single" w:sz="4" w:space="0" w:color="00000A"/>
              <w:left w:val="single" w:sz="4" w:space="0" w:color="00000A"/>
              <w:bottom w:val="single" w:sz="4" w:space="0" w:color="00000A"/>
              <w:right w:val="single" w:sz="4" w:space="0" w:color="00000A"/>
            </w:tcBorders>
          </w:tcPr>
          <w:p w14:paraId="3087C1B2" w14:textId="77777777" w:rsidR="00A92E1C" w:rsidRPr="00EC4067" w:rsidRDefault="00A92E1C">
            <w:pPr>
              <w:numPr>
                <w:ilvl w:val="0"/>
                <w:numId w:val="3"/>
              </w:numPr>
              <w:spacing w:after="0" w:line="240" w:lineRule="auto"/>
              <w:rPr>
                <w:rFonts w:ascii="Calibri" w:hAnsi="Calibri" w:cs="Calibri"/>
                <w:bCs/>
                <w:sz w:val="22"/>
                <w:szCs w:val="22"/>
              </w:rPr>
            </w:pPr>
          </w:p>
        </w:tc>
        <w:tc>
          <w:tcPr>
            <w:tcW w:w="1723" w:type="dxa"/>
            <w:tcBorders>
              <w:top w:val="single" w:sz="4" w:space="0" w:color="00000A"/>
              <w:left w:val="single" w:sz="4" w:space="0" w:color="00000A"/>
              <w:bottom w:val="single" w:sz="4" w:space="0" w:color="00000A"/>
              <w:right w:val="single" w:sz="4" w:space="0" w:color="00000A"/>
            </w:tcBorders>
          </w:tcPr>
          <w:p w14:paraId="631E8647" w14:textId="77777777" w:rsidR="00A92E1C" w:rsidRPr="00EC4067" w:rsidRDefault="00A92E1C">
            <w:pPr>
              <w:tabs>
                <w:tab w:val="left" w:pos="213"/>
              </w:tabs>
              <w:spacing w:after="0" w:line="240" w:lineRule="auto"/>
              <w:jc w:val="both"/>
              <w:rPr>
                <w:rFonts w:ascii="Calibri" w:hAnsi="Calibri" w:cs="Calibri"/>
                <w:sz w:val="22"/>
                <w:szCs w:val="22"/>
              </w:rPr>
            </w:pPr>
          </w:p>
        </w:tc>
        <w:tc>
          <w:tcPr>
            <w:tcW w:w="7489" w:type="dxa"/>
            <w:gridSpan w:val="2"/>
            <w:tcBorders>
              <w:top w:val="single" w:sz="4" w:space="0" w:color="00000A"/>
              <w:left w:val="single" w:sz="4" w:space="0" w:color="00000A"/>
              <w:bottom w:val="single" w:sz="4" w:space="0" w:color="00000A"/>
              <w:right w:val="single" w:sz="4" w:space="0" w:color="00000A"/>
            </w:tcBorders>
          </w:tcPr>
          <w:p w14:paraId="25124FF9" w14:textId="77777777" w:rsidR="00A92E1C" w:rsidRPr="00EC4067" w:rsidRDefault="00A92E1C">
            <w:pPr>
              <w:spacing w:after="0" w:line="240" w:lineRule="auto"/>
              <w:rPr>
                <w:rFonts w:ascii="Calibri" w:hAnsi="Calibri" w:cs="Calibri"/>
                <w:sz w:val="22"/>
                <w:szCs w:val="22"/>
              </w:rPr>
            </w:pPr>
          </w:p>
        </w:tc>
      </w:tr>
    </w:tbl>
    <w:p w14:paraId="7E94060A" w14:textId="77777777" w:rsidR="00A92E1C" w:rsidRPr="00EC4067" w:rsidRDefault="00A92E1C">
      <w:pPr>
        <w:spacing w:after="0" w:line="240" w:lineRule="auto"/>
        <w:rPr>
          <w:rFonts w:ascii="Calibri" w:hAnsi="Calibri" w:cs="Calibri"/>
          <w:sz w:val="22"/>
          <w:szCs w:val="22"/>
        </w:rPr>
      </w:pPr>
    </w:p>
    <w:p w14:paraId="0FB8981C" w14:textId="77777777" w:rsidR="00A92E1C" w:rsidRPr="00EC4067" w:rsidRDefault="00A92E1C">
      <w:pPr>
        <w:spacing w:after="0" w:line="240" w:lineRule="auto"/>
        <w:rPr>
          <w:rFonts w:ascii="Calibri" w:hAnsi="Calibri" w:cs="Calibri"/>
          <w:sz w:val="22"/>
          <w:szCs w:val="22"/>
        </w:rPr>
      </w:pPr>
    </w:p>
    <w:p w14:paraId="37B021FF" w14:textId="77777777" w:rsidR="00A92E1C" w:rsidRPr="00EC4067" w:rsidRDefault="009357C5">
      <w:pPr>
        <w:pStyle w:val="Akapitzlist"/>
        <w:numPr>
          <w:ilvl w:val="0"/>
          <w:numId w:val="5"/>
        </w:numPr>
        <w:tabs>
          <w:tab w:val="left" w:pos="1004"/>
        </w:tabs>
        <w:spacing w:after="0" w:line="240" w:lineRule="auto"/>
        <w:jc w:val="both"/>
        <w:rPr>
          <w:rFonts w:ascii="Calibri" w:hAnsi="Calibri" w:cs="Calibri"/>
          <w:sz w:val="22"/>
          <w:szCs w:val="22"/>
        </w:rPr>
      </w:pPr>
      <w:r w:rsidRPr="00EC4067">
        <w:rPr>
          <w:rFonts w:ascii="Calibri" w:eastAsia="Calibri" w:hAnsi="Calibri" w:cs="Calibri"/>
          <w:b/>
          <w:bCs/>
          <w:color w:val="000000"/>
          <w:sz w:val="22"/>
          <w:szCs w:val="22"/>
        </w:rPr>
        <w:t>Zestaw komputerowy typ II - 6 szt.</w:t>
      </w:r>
    </w:p>
    <w:tbl>
      <w:tblPr>
        <w:tblW w:w="9016" w:type="dxa"/>
        <w:tblInd w:w="3" w:type="dxa"/>
        <w:tblLayout w:type="fixed"/>
        <w:tblCellMar>
          <w:left w:w="71" w:type="dxa"/>
          <w:right w:w="71" w:type="dxa"/>
        </w:tblCellMar>
        <w:tblLook w:val="04A0" w:firstRow="1" w:lastRow="0" w:firstColumn="1" w:lastColumn="0" w:noHBand="0" w:noVBand="1"/>
      </w:tblPr>
      <w:tblGrid>
        <w:gridCol w:w="6881"/>
        <w:gridCol w:w="2135"/>
      </w:tblGrid>
      <w:tr w:rsidR="00A92E1C" w:rsidRPr="00EC4067" w14:paraId="7AE3ABAD" w14:textId="77777777">
        <w:trPr>
          <w:trHeight w:val="284"/>
        </w:trPr>
        <w:tc>
          <w:tcPr>
            <w:tcW w:w="6881" w:type="dxa"/>
            <w:tcBorders>
              <w:top w:val="single" w:sz="4" w:space="0" w:color="00000A"/>
              <w:left w:val="single" w:sz="4" w:space="0" w:color="00000A"/>
              <w:bottom w:val="single" w:sz="4" w:space="0" w:color="00000A"/>
              <w:right w:val="single" w:sz="4" w:space="0" w:color="00000A"/>
            </w:tcBorders>
            <w:vAlign w:val="center"/>
          </w:tcPr>
          <w:p w14:paraId="7B14F379"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b/>
                <w:sz w:val="22"/>
                <w:szCs w:val="22"/>
              </w:rPr>
              <w:t>Szczegółowy opis</w:t>
            </w:r>
          </w:p>
        </w:tc>
        <w:tc>
          <w:tcPr>
            <w:tcW w:w="2135" w:type="dxa"/>
            <w:tcBorders>
              <w:top w:val="single" w:sz="4" w:space="0" w:color="00000A"/>
              <w:left w:val="single" w:sz="4" w:space="0" w:color="00000A"/>
              <w:bottom w:val="single" w:sz="4" w:space="0" w:color="00000A"/>
              <w:right w:val="single" w:sz="4" w:space="0" w:color="00000A"/>
            </w:tcBorders>
            <w:vAlign w:val="center"/>
          </w:tcPr>
          <w:p w14:paraId="6DCD5FDE" w14:textId="77777777" w:rsidR="00A92E1C" w:rsidRPr="00EC4067" w:rsidRDefault="009357C5">
            <w:pPr>
              <w:spacing w:after="0" w:line="240" w:lineRule="auto"/>
              <w:ind w:left="-71"/>
              <w:jc w:val="both"/>
              <w:rPr>
                <w:rFonts w:ascii="Calibri" w:hAnsi="Calibri" w:cs="Calibri"/>
                <w:sz w:val="22"/>
                <w:szCs w:val="22"/>
              </w:rPr>
            </w:pPr>
            <w:r w:rsidRPr="00EC4067">
              <w:rPr>
                <w:rFonts w:ascii="Calibri" w:hAnsi="Calibri" w:cs="Calibri"/>
                <w:b/>
                <w:sz w:val="22"/>
                <w:szCs w:val="22"/>
              </w:rPr>
              <w:t>Parametry oferowane</w:t>
            </w:r>
          </w:p>
        </w:tc>
      </w:tr>
      <w:tr w:rsidR="00A92E1C" w:rsidRPr="00EC4067" w14:paraId="6C3152C7" w14:textId="77777777">
        <w:trPr>
          <w:trHeight w:val="284"/>
        </w:trPr>
        <w:tc>
          <w:tcPr>
            <w:tcW w:w="6881" w:type="dxa"/>
            <w:tcBorders>
              <w:top w:val="single" w:sz="4" w:space="0" w:color="00000A"/>
              <w:left w:val="single" w:sz="4" w:space="0" w:color="00000A"/>
              <w:bottom w:val="single" w:sz="4" w:space="0" w:color="00000A"/>
              <w:right w:val="single" w:sz="4" w:space="0" w:color="00000A"/>
            </w:tcBorders>
            <w:vAlign w:val="center"/>
          </w:tcPr>
          <w:p w14:paraId="0B3DF89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Zestaw komputerowy typ II: notebook biznesowy z akcesoriami.</w:t>
            </w:r>
          </w:p>
          <w:p w14:paraId="6375C218"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Przedmiot zamówienia obejmuje:</w:t>
            </w:r>
          </w:p>
          <w:p w14:paraId="37A3F061" w14:textId="77777777" w:rsidR="00A92E1C" w:rsidRPr="00EC4067" w:rsidRDefault="00A92E1C">
            <w:pPr>
              <w:spacing w:after="0" w:line="240" w:lineRule="auto"/>
              <w:rPr>
                <w:rFonts w:ascii="Calibri" w:hAnsi="Calibri" w:cs="Calibri"/>
                <w:sz w:val="22"/>
                <w:szCs w:val="22"/>
              </w:rPr>
            </w:pPr>
          </w:p>
          <w:p w14:paraId="2749950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notebook,</w:t>
            </w:r>
          </w:p>
          <w:p w14:paraId="4CE6F493"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zasilacz,</w:t>
            </w:r>
          </w:p>
          <w:p w14:paraId="53418CB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torbę transportową,</w:t>
            </w:r>
          </w:p>
          <w:p w14:paraId="14C0E044"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mysz bezprzewodową.</w:t>
            </w:r>
          </w:p>
          <w:p w14:paraId="46684D9F" w14:textId="77777777" w:rsidR="00A92E1C" w:rsidRPr="00EC4067" w:rsidRDefault="00A92E1C">
            <w:pPr>
              <w:spacing w:after="0" w:line="240" w:lineRule="auto"/>
              <w:rPr>
                <w:rFonts w:ascii="Calibri" w:hAnsi="Calibri" w:cs="Calibri"/>
                <w:sz w:val="22"/>
                <w:szCs w:val="22"/>
              </w:rPr>
            </w:pPr>
          </w:p>
          <w:p w14:paraId="2A769A1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Zamawiający dopuszcza zaoferowanie sprzętu równoważnego względem urządzenia referencyjnego klasy Dell Pro 16 (PC16250), pod warunkiem spełnienia wszystkich minimalnych wymagań technicznych i funkcjonalnych określonych w niniejszym formularzu.</w:t>
            </w:r>
          </w:p>
        </w:tc>
        <w:tc>
          <w:tcPr>
            <w:tcW w:w="2135" w:type="dxa"/>
            <w:tcBorders>
              <w:top w:val="single" w:sz="4" w:space="0" w:color="00000A"/>
              <w:left w:val="single" w:sz="4" w:space="0" w:color="00000A"/>
              <w:bottom w:val="single" w:sz="4" w:space="0" w:color="00000A"/>
              <w:right w:val="single" w:sz="4" w:space="0" w:color="00000A"/>
            </w:tcBorders>
          </w:tcPr>
          <w:p w14:paraId="2302293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Producent:</w:t>
            </w:r>
          </w:p>
          <w:p w14:paraId="24F3FA0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Model:</w:t>
            </w:r>
          </w:p>
          <w:p w14:paraId="3ECC7AB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Numer katalogowy (numer konfiguracji lub part numer):</w:t>
            </w:r>
          </w:p>
          <w:p w14:paraId="458DC9CD" w14:textId="77777777" w:rsidR="00A92E1C" w:rsidRPr="00EC4067" w:rsidRDefault="00A92E1C">
            <w:pPr>
              <w:spacing w:after="0" w:line="240" w:lineRule="auto"/>
              <w:rPr>
                <w:rFonts w:ascii="Calibri" w:hAnsi="Calibri" w:cs="Calibri"/>
                <w:sz w:val="22"/>
                <w:szCs w:val="22"/>
              </w:rPr>
            </w:pPr>
          </w:p>
          <w:p w14:paraId="6B83A432" w14:textId="77777777" w:rsidR="00A92E1C" w:rsidRPr="00EC4067" w:rsidRDefault="00A92E1C">
            <w:pPr>
              <w:spacing w:after="0" w:line="240" w:lineRule="auto"/>
              <w:rPr>
                <w:rFonts w:ascii="Calibri" w:hAnsi="Calibri" w:cs="Calibri"/>
                <w:sz w:val="22"/>
                <w:szCs w:val="22"/>
              </w:rPr>
            </w:pPr>
          </w:p>
          <w:p w14:paraId="343F137E" w14:textId="77777777" w:rsidR="00A92E1C" w:rsidRPr="00EC4067" w:rsidRDefault="00A92E1C">
            <w:pPr>
              <w:spacing w:after="0" w:line="240" w:lineRule="auto"/>
              <w:rPr>
                <w:rFonts w:ascii="Calibri" w:hAnsi="Calibri" w:cs="Calibri"/>
                <w:sz w:val="22"/>
                <w:szCs w:val="22"/>
              </w:rPr>
            </w:pPr>
          </w:p>
          <w:p w14:paraId="72DB9007" w14:textId="77777777" w:rsidR="00A92E1C" w:rsidRPr="00EC4067" w:rsidRDefault="00A92E1C">
            <w:pPr>
              <w:spacing w:after="0" w:line="240" w:lineRule="auto"/>
              <w:rPr>
                <w:rFonts w:ascii="Calibri" w:hAnsi="Calibri" w:cs="Calibri"/>
                <w:b/>
                <w:sz w:val="22"/>
                <w:szCs w:val="22"/>
              </w:rPr>
            </w:pPr>
          </w:p>
        </w:tc>
      </w:tr>
    </w:tbl>
    <w:p w14:paraId="3B418E69" w14:textId="77777777" w:rsidR="00A92E1C" w:rsidRPr="00EC4067" w:rsidRDefault="00A92E1C">
      <w:pPr>
        <w:tabs>
          <w:tab w:val="left" w:pos="284"/>
        </w:tabs>
        <w:spacing w:after="0" w:line="240" w:lineRule="auto"/>
        <w:jc w:val="both"/>
        <w:rPr>
          <w:rFonts w:ascii="Calibri" w:eastAsia="Calibri" w:hAnsi="Calibri" w:cs="Calibri"/>
          <w:b/>
          <w:bCs/>
          <w:color w:val="000000"/>
          <w:sz w:val="22"/>
          <w:szCs w:val="22"/>
        </w:rPr>
      </w:pPr>
    </w:p>
    <w:tbl>
      <w:tblPr>
        <w:tblW w:w="8984" w:type="dxa"/>
        <w:tblInd w:w="12" w:type="dxa"/>
        <w:tblLayout w:type="fixed"/>
        <w:tblCellMar>
          <w:left w:w="71" w:type="dxa"/>
          <w:right w:w="71" w:type="dxa"/>
        </w:tblCellMar>
        <w:tblLook w:val="04A0" w:firstRow="1" w:lastRow="0" w:firstColumn="1" w:lastColumn="0" w:noHBand="0" w:noVBand="1"/>
      </w:tblPr>
      <w:tblGrid>
        <w:gridCol w:w="436"/>
        <w:gridCol w:w="1532"/>
        <w:gridCol w:w="7016"/>
      </w:tblGrid>
      <w:tr w:rsidR="00A92E1C" w:rsidRPr="00EC4067" w14:paraId="436A5237"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vAlign w:val="center"/>
          </w:tcPr>
          <w:p w14:paraId="5D011E32" w14:textId="77777777" w:rsidR="00A92E1C" w:rsidRPr="00EC4067" w:rsidRDefault="009357C5">
            <w:pPr>
              <w:spacing w:after="0" w:line="240" w:lineRule="auto"/>
              <w:rPr>
                <w:rFonts w:ascii="Calibri" w:hAnsi="Calibri" w:cs="Calibri"/>
                <w:sz w:val="22"/>
                <w:szCs w:val="22"/>
              </w:rPr>
            </w:pPr>
            <w:r w:rsidRPr="00EC4067">
              <w:rPr>
                <w:rFonts w:ascii="Calibri" w:hAnsi="Calibri" w:cs="Calibri"/>
                <w:b/>
                <w:sz w:val="22"/>
                <w:szCs w:val="22"/>
              </w:rPr>
              <w:t>Lp.</w:t>
            </w:r>
          </w:p>
        </w:tc>
        <w:tc>
          <w:tcPr>
            <w:tcW w:w="1532" w:type="dxa"/>
            <w:tcBorders>
              <w:top w:val="single" w:sz="4" w:space="0" w:color="00000A"/>
              <w:left w:val="single" w:sz="4" w:space="0" w:color="00000A"/>
              <w:bottom w:val="single" w:sz="4" w:space="0" w:color="00000A"/>
              <w:right w:val="single" w:sz="4" w:space="0" w:color="00000A"/>
            </w:tcBorders>
            <w:vAlign w:val="center"/>
          </w:tcPr>
          <w:p w14:paraId="0EF04C05" w14:textId="77777777" w:rsidR="00A92E1C" w:rsidRPr="00EC4067" w:rsidRDefault="009357C5">
            <w:pPr>
              <w:spacing w:after="0" w:line="240" w:lineRule="auto"/>
              <w:rPr>
                <w:rFonts w:ascii="Calibri" w:hAnsi="Calibri" w:cs="Calibri"/>
                <w:sz w:val="22"/>
                <w:szCs w:val="22"/>
              </w:rPr>
            </w:pPr>
            <w:r w:rsidRPr="00EC4067">
              <w:rPr>
                <w:rFonts w:ascii="Calibri" w:hAnsi="Calibri" w:cs="Calibri"/>
                <w:b/>
                <w:sz w:val="22"/>
                <w:szCs w:val="22"/>
              </w:rPr>
              <w:t>Nazwa komponentu</w:t>
            </w:r>
          </w:p>
        </w:tc>
        <w:tc>
          <w:tcPr>
            <w:tcW w:w="7016" w:type="dxa"/>
            <w:tcBorders>
              <w:top w:val="single" w:sz="4" w:space="0" w:color="00000A"/>
              <w:left w:val="single" w:sz="4" w:space="0" w:color="00000A"/>
              <w:bottom w:val="single" w:sz="4" w:space="0" w:color="00000A"/>
              <w:right w:val="single" w:sz="4" w:space="0" w:color="00000A"/>
            </w:tcBorders>
            <w:vAlign w:val="center"/>
          </w:tcPr>
          <w:p w14:paraId="33A105DA" w14:textId="77777777" w:rsidR="00A92E1C" w:rsidRPr="00EC4067" w:rsidRDefault="009357C5">
            <w:pPr>
              <w:spacing w:after="0" w:line="240" w:lineRule="auto"/>
              <w:rPr>
                <w:rFonts w:ascii="Calibri" w:hAnsi="Calibri" w:cs="Calibri"/>
                <w:sz w:val="22"/>
                <w:szCs w:val="22"/>
              </w:rPr>
            </w:pPr>
            <w:r w:rsidRPr="00EC4067">
              <w:rPr>
                <w:rFonts w:ascii="Calibri" w:hAnsi="Calibri" w:cs="Calibri"/>
                <w:b/>
                <w:sz w:val="22"/>
                <w:szCs w:val="22"/>
              </w:rPr>
              <w:t>Wymagane minimalne parametry techniczne komputerów</w:t>
            </w:r>
          </w:p>
        </w:tc>
      </w:tr>
      <w:tr w:rsidR="00A92E1C" w:rsidRPr="00EC4067" w14:paraId="3E57433A"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60E0CF89" w14:textId="77777777" w:rsidR="00A92E1C" w:rsidRPr="00EC4067" w:rsidRDefault="00A92E1C">
            <w:pPr>
              <w:numPr>
                <w:ilvl w:val="0"/>
                <w:numId w:val="10"/>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2B86A685"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Procesor</w:t>
            </w:r>
          </w:p>
        </w:tc>
        <w:tc>
          <w:tcPr>
            <w:tcW w:w="7016" w:type="dxa"/>
            <w:tcBorders>
              <w:top w:val="single" w:sz="4" w:space="0" w:color="00000A"/>
              <w:left w:val="single" w:sz="4" w:space="0" w:color="00000A"/>
              <w:bottom w:val="single" w:sz="4" w:space="0" w:color="00000A"/>
              <w:right w:val="single" w:sz="4" w:space="0" w:color="00000A"/>
            </w:tcBorders>
          </w:tcPr>
          <w:p w14:paraId="67AEF76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xml:space="preserve">Procesor min. 12-rdzeniowy, min. 14-wątkowy, ze zintegrowaną grafiką, zaprojektowany do pracy w komputerach przenośnych klasy x86, o wydajności nie niższej niż 17800 pkt wg CPU Mark opublikowanego na stronie </w:t>
            </w:r>
            <w:hyperlink r:id="rId9" w:tgtFrame="_top">
              <w:r w:rsidRPr="00EC4067">
                <w:rPr>
                  <w:rStyle w:val="Hipercze"/>
                  <w:rFonts w:ascii="Calibri" w:hAnsi="Calibri" w:cs="Calibri"/>
                  <w:sz w:val="22"/>
                  <w:szCs w:val="22"/>
                </w:rPr>
                <w:t>www.cpubenchmark.net</w:t>
              </w:r>
            </w:hyperlink>
            <w:r w:rsidRPr="00EC4067">
              <w:rPr>
                <w:rFonts w:ascii="Calibri" w:hAnsi="Calibri" w:cs="Calibri"/>
                <w:sz w:val="22"/>
                <w:szCs w:val="22"/>
              </w:rPr>
              <w:t xml:space="preserve"> na dzień 05.05.2026r.</w:t>
            </w:r>
            <w:r w:rsidRPr="00EC4067">
              <w:rPr>
                <w:rFonts w:ascii="Calibri" w:hAnsi="Calibri" w:cs="Calibri"/>
                <w:sz w:val="22"/>
                <w:szCs w:val="22"/>
              </w:rPr>
              <w:br/>
              <w:t xml:space="preserve"> (Wynik zaproponowanego procesora musi znajdować się na w/w stronie.)</w:t>
            </w:r>
          </w:p>
        </w:tc>
      </w:tr>
      <w:tr w:rsidR="00A92E1C" w:rsidRPr="00EC4067" w14:paraId="3221B066"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34BAE31C"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00A77740"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Pamięć operacyjna RAM</w:t>
            </w:r>
          </w:p>
        </w:tc>
        <w:tc>
          <w:tcPr>
            <w:tcW w:w="7016" w:type="dxa"/>
            <w:tcBorders>
              <w:top w:val="single" w:sz="4" w:space="0" w:color="00000A"/>
              <w:left w:val="single" w:sz="4" w:space="0" w:color="00000A"/>
              <w:bottom w:val="single" w:sz="4" w:space="0" w:color="00000A"/>
              <w:right w:val="single" w:sz="4" w:space="0" w:color="00000A"/>
            </w:tcBorders>
          </w:tcPr>
          <w:p w14:paraId="3396901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Min. 16 GB DDR5, 5600 MT/s</w:t>
            </w:r>
          </w:p>
        </w:tc>
      </w:tr>
      <w:tr w:rsidR="00A92E1C" w:rsidRPr="00EC4067" w14:paraId="4F4CBAEB"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5178FE53"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29C1A05D"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Parametry pamięci masowej</w:t>
            </w:r>
          </w:p>
        </w:tc>
        <w:tc>
          <w:tcPr>
            <w:tcW w:w="7016" w:type="dxa"/>
            <w:tcBorders>
              <w:top w:val="single" w:sz="4" w:space="0" w:color="00000A"/>
              <w:left w:val="single" w:sz="4" w:space="0" w:color="00000A"/>
              <w:bottom w:val="single" w:sz="4" w:space="0" w:color="00000A"/>
              <w:right w:val="single" w:sz="4" w:space="0" w:color="00000A"/>
            </w:tcBorders>
          </w:tcPr>
          <w:p w14:paraId="0431E8A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Dysk SSD M.2 PCIe NVMe min. 1TB</w:t>
            </w:r>
          </w:p>
          <w:p w14:paraId="09B7127B" w14:textId="77777777" w:rsidR="00A92E1C" w:rsidRPr="00EC4067" w:rsidRDefault="00A92E1C">
            <w:pPr>
              <w:spacing w:after="0" w:line="240" w:lineRule="auto"/>
              <w:rPr>
                <w:rFonts w:ascii="Calibri" w:hAnsi="Calibri" w:cs="Calibri"/>
                <w:sz w:val="22"/>
                <w:szCs w:val="22"/>
                <w:lang w:val="de-DE"/>
              </w:rPr>
            </w:pPr>
          </w:p>
        </w:tc>
      </w:tr>
      <w:tr w:rsidR="00A92E1C" w:rsidRPr="00EC4067" w14:paraId="429716DD"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4DABB917"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4FE87A86"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Karta graficzna</w:t>
            </w:r>
          </w:p>
        </w:tc>
        <w:tc>
          <w:tcPr>
            <w:tcW w:w="7016" w:type="dxa"/>
            <w:tcBorders>
              <w:top w:val="single" w:sz="4" w:space="0" w:color="00000A"/>
              <w:left w:val="single" w:sz="4" w:space="0" w:color="00000A"/>
              <w:bottom w:val="single" w:sz="4" w:space="0" w:color="00000A"/>
              <w:right w:val="single" w:sz="4" w:space="0" w:color="00000A"/>
            </w:tcBorders>
          </w:tcPr>
          <w:p w14:paraId="24B15859"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Zintegrowana z procesorem</w:t>
            </w:r>
          </w:p>
        </w:tc>
      </w:tr>
      <w:tr w:rsidR="00A92E1C" w:rsidRPr="00EC4067" w14:paraId="168F3878"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3954EF88"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0A7606AE"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Wyposażenie multimedialne</w:t>
            </w:r>
          </w:p>
        </w:tc>
        <w:tc>
          <w:tcPr>
            <w:tcW w:w="7016" w:type="dxa"/>
            <w:tcBorders>
              <w:top w:val="single" w:sz="4" w:space="0" w:color="00000A"/>
              <w:left w:val="single" w:sz="4" w:space="0" w:color="00000A"/>
              <w:bottom w:val="single" w:sz="4" w:space="0" w:color="00000A"/>
              <w:right w:val="single" w:sz="4" w:space="0" w:color="00000A"/>
            </w:tcBorders>
          </w:tcPr>
          <w:p w14:paraId="6CEB059E"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Karta dźwiękowa zintegrowana z płytą główną, zgodna z High Definition.</w:t>
            </w:r>
          </w:p>
          <w:p w14:paraId="0F437863"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Wbudowane w obudowie komputera:</w:t>
            </w:r>
          </w:p>
          <w:p w14:paraId="2A6E165A"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głośniki stereo 2x 2W,</w:t>
            </w:r>
          </w:p>
          <w:p w14:paraId="5C5C50D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kamera video 1080p z mechaniczną zasłoną obiektywu oraz obsługująca logowanie za pomocą danych biometrycznych z Windows Hello,</w:t>
            </w:r>
          </w:p>
          <w:p w14:paraId="5C9703C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dwa mikrofony z funkcją wygłuszania niechcianych odgłosów tła</w:t>
            </w:r>
          </w:p>
          <w:p w14:paraId="2878CCCD" w14:textId="77777777" w:rsidR="00A92E1C" w:rsidRPr="00EC4067" w:rsidRDefault="00A92E1C">
            <w:pPr>
              <w:spacing w:after="0" w:line="240" w:lineRule="auto"/>
              <w:rPr>
                <w:rFonts w:ascii="Calibri" w:hAnsi="Calibri" w:cs="Calibri"/>
                <w:sz w:val="22"/>
                <w:szCs w:val="22"/>
              </w:rPr>
            </w:pPr>
          </w:p>
          <w:p w14:paraId="3D55905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Sterowanie głośnością głośników za pośrednictwem wydzielonych klawiszy funkcyjnych na klawiaturze, wydzielony przycisk funkcyjny do natychmiastowego wyciszania głośników oraz mikrofonu (mute).</w:t>
            </w:r>
          </w:p>
        </w:tc>
      </w:tr>
      <w:tr w:rsidR="00A92E1C" w:rsidRPr="00EC4067" w14:paraId="3C488A7E"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0F76056D"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3DBAD20E"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Płyta główna</w:t>
            </w:r>
          </w:p>
        </w:tc>
        <w:tc>
          <w:tcPr>
            <w:tcW w:w="7016" w:type="dxa"/>
            <w:tcBorders>
              <w:top w:val="single" w:sz="4" w:space="0" w:color="00000A"/>
              <w:left w:val="single" w:sz="4" w:space="0" w:color="00000A"/>
              <w:bottom w:val="single" w:sz="4" w:space="0" w:color="00000A"/>
              <w:right w:val="single" w:sz="4" w:space="0" w:color="00000A"/>
            </w:tcBorders>
          </w:tcPr>
          <w:p w14:paraId="43194A6A"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Płyta główna zaprojektowana i wyprodukowana na zlecenie producenta komputera, trwale oznaczona (na laminacie płyty głównej) na etapie produkcji nazwą producenta oferowanej jednostki i dedykowana dla danego urządzenia. Płyta główna wyposażona w BIOS producenta komputera, zawierający numer seryjny urządzenia.</w:t>
            </w:r>
          </w:p>
        </w:tc>
      </w:tr>
      <w:tr w:rsidR="00A92E1C" w:rsidRPr="00EC4067" w14:paraId="02747395"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45F5D046"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0243F8BB"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Zgodność z systemami operacyjnymi</w:t>
            </w:r>
          </w:p>
        </w:tc>
        <w:tc>
          <w:tcPr>
            <w:tcW w:w="7016" w:type="dxa"/>
            <w:tcBorders>
              <w:top w:val="single" w:sz="4" w:space="0" w:color="00000A"/>
              <w:left w:val="single" w:sz="4" w:space="0" w:color="00000A"/>
              <w:bottom w:val="single" w:sz="4" w:space="0" w:color="00000A"/>
              <w:right w:val="single" w:sz="4" w:space="0" w:color="00000A"/>
            </w:tcBorders>
          </w:tcPr>
          <w:p w14:paraId="04A9D59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xml:space="preserve">Oferowany model komputera musi poprawnie współpracować z zamawianym systemem operacyjnym (jako potwierdzenie poprawnej współpracy Wykonawca dołączy do oferty </w:t>
            </w:r>
            <w:bookmarkStart w:id="6" w:name="_Hlk216166066"/>
            <w:r w:rsidRPr="00EC4067">
              <w:rPr>
                <w:rFonts w:ascii="Calibri" w:hAnsi="Calibri" w:cs="Calibri"/>
                <w:sz w:val="22"/>
                <w:szCs w:val="22"/>
              </w:rPr>
              <w:t>dokument w postaci wydruku potwierdzający certyfikację rodziny produktów</w:t>
            </w:r>
            <w:bookmarkEnd w:id="6"/>
            <w:r w:rsidRPr="00EC4067">
              <w:rPr>
                <w:rFonts w:ascii="Calibri" w:hAnsi="Calibri" w:cs="Calibri"/>
                <w:sz w:val="22"/>
                <w:szCs w:val="22"/>
              </w:rPr>
              <w:t xml:space="preserve"> bez względu na rodzaj obudowy, dodatkowo potwierdzony przez producenta oferowanego komputera ).</w:t>
            </w:r>
          </w:p>
        </w:tc>
      </w:tr>
      <w:tr w:rsidR="00A92E1C" w:rsidRPr="00EC4067" w14:paraId="02EEC1E8"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4882BE30"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5AC7025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Bezpieczeństwo</w:t>
            </w:r>
          </w:p>
        </w:tc>
        <w:tc>
          <w:tcPr>
            <w:tcW w:w="7016" w:type="dxa"/>
            <w:tcBorders>
              <w:top w:val="single" w:sz="4" w:space="0" w:color="00000A"/>
              <w:left w:val="single" w:sz="4" w:space="0" w:color="00000A"/>
              <w:bottom w:val="single" w:sz="4" w:space="0" w:color="00000A"/>
              <w:right w:val="single" w:sz="4" w:space="0" w:color="00000A"/>
            </w:tcBorders>
          </w:tcPr>
          <w:p w14:paraId="1FB0E74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Moduł TPM lub TPM 2.0</w:t>
            </w:r>
          </w:p>
          <w:p w14:paraId="60A60A7A"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Gniazdo kabla zabezpieczającego.</w:t>
            </w:r>
          </w:p>
          <w:p w14:paraId="5CECC92E"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Dysk systemowy zawierający partycję recovery umożliwiające odtworzenie systemu operacyjnego fabrycznie zainstalowanego na komputerze po awarii.</w:t>
            </w:r>
          </w:p>
        </w:tc>
      </w:tr>
      <w:tr w:rsidR="00A92E1C" w:rsidRPr="00EC4067" w14:paraId="44634F90"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1C918CBE"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16D115FE"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BIOS</w:t>
            </w:r>
          </w:p>
        </w:tc>
        <w:tc>
          <w:tcPr>
            <w:tcW w:w="7016" w:type="dxa"/>
            <w:tcBorders>
              <w:top w:val="single" w:sz="4" w:space="0" w:color="00000A"/>
              <w:left w:val="single" w:sz="4" w:space="0" w:color="00000A"/>
              <w:bottom w:val="single" w:sz="4" w:space="0" w:color="00000A"/>
              <w:right w:val="single" w:sz="4" w:space="0" w:color="00000A"/>
            </w:tcBorders>
          </w:tcPr>
          <w:p w14:paraId="6E4567E5"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 xml:space="preserve">BIOS zgodny ze specyfikacją UEFI, wyprodukowany przez producenta komputera, zawierający logo producenta komputera lub nazwę producenta komputera. </w:t>
            </w:r>
            <w:r w:rsidRPr="00EC4067">
              <w:rPr>
                <w:rFonts w:ascii="Calibri" w:hAnsi="Calibri" w:cs="Calibri"/>
                <w:sz w:val="22"/>
                <w:szCs w:val="22"/>
              </w:rPr>
              <w:t>Możliwość, bez uruchamiania systemu operacyjnego z dysku twardego komputera, bez dodatkowego oprogramowania z zewnętrznych i podłączonych do niego urządzeń zewnętrznych odczytania z BIOS informacji o:</w:t>
            </w:r>
          </w:p>
          <w:p w14:paraId="77AFA5F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wersji BIOS wraz z datą produkcji</w:t>
            </w:r>
          </w:p>
          <w:p w14:paraId="287FC709"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nr seryjnym komputera</w:t>
            </w:r>
          </w:p>
          <w:p w14:paraId="49035BF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typie procesora</w:t>
            </w:r>
          </w:p>
          <w:p w14:paraId="20EB04D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ilości pamięci RAM</w:t>
            </w:r>
          </w:p>
          <w:p w14:paraId="73249EB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xml:space="preserve">    </w:t>
            </w:r>
          </w:p>
          <w:p w14:paraId="5EE9B5A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Administrator z poziomu BIOS musi mieć możliwość wykonania poniższych czynności:</w:t>
            </w:r>
          </w:p>
          <w:p w14:paraId="46EBE74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Możliwość ustawienia hasła Administratora</w:t>
            </w:r>
          </w:p>
          <w:p w14:paraId="63151796"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Możliwość ustawienia hasła dysku twardego</w:t>
            </w:r>
          </w:p>
          <w:p w14:paraId="3B36D28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Możliwość włączania/wyłączania wirtualizacji z poziomu BIOS</w:t>
            </w:r>
          </w:p>
          <w:p w14:paraId="413824C5"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Możliwość włączenia/wyłączenia bootowania z USB oraz PXE</w:t>
            </w:r>
          </w:p>
          <w:p w14:paraId="21E7603A"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Możliwość Wyłączania/Włączania: karty sieciowej, mikrofonu, zintegrowanej kamery, USB</w:t>
            </w:r>
          </w:p>
        </w:tc>
      </w:tr>
      <w:tr w:rsidR="00A92E1C" w:rsidRPr="00EC4067" w14:paraId="4BC3B107"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30F00D86"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044388BA"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Bezpieczeństwo – System Diagnostyczny</w:t>
            </w:r>
          </w:p>
        </w:tc>
        <w:tc>
          <w:tcPr>
            <w:tcW w:w="7016" w:type="dxa"/>
            <w:tcBorders>
              <w:top w:val="single" w:sz="4" w:space="0" w:color="00000A"/>
              <w:left w:val="single" w:sz="4" w:space="0" w:color="00000A"/>
              <w:bottom w:val="single" w:sz="4" w:space="0" w:color="00000A"/>
              <w:right w:val="single" w:sz="4" w:space="0" w:color="00000A"/>
            </w:tcBorders>
          </w:tcPr>
          <w:p w14:paraId="2DE10025"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Zaimplementowany w BIOS system diagnostyczny z graficznym interfejsem użytkownika dostępny z poziomu szybkiego menu boot umożliwiający jednoczesne przetestowanie w celu wykrycia błędów zainstalowanych komponentów w oferowanym komputerze bez konieczności uruchamiania systemu operacyjnego. Działający nawet w przypadku uszkodzenia dysku twardego. System obsługiwany za pomocą myszy lub klawiatury, umożliwiający wykonanie minimum następujących czynności diagnostycznych:</w:t>
            </w:r>
            <w:r w:rsidRPr="00EC4067">
              <w:rPr>
                <w:rFonts w:ascii="Calibri" w:hAnsi="Calibri" w:cs="Calibri"/>
                <w:sz w:val="22"/>
                <w:szCs w:val="22"/>
              </w:rPr>
              <w:br/>
            </w:r>
          </w:p>
          <w:p w14:paraId="2BCF443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1. Wykonanie testu komponentów w zakresie przyspieszonym lub rozszerzonym z możliwością wyboru algorytmów testowania oraz liczby cykli testowych do przeprowadzenia. System diagnostyczny powinien umożliwiać wykonanie testu następujących komponentów:</w:t>
            </w:r>
          </w:p>
          <w:p w14:paraId="4979A5D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pamięci ram,</w:t>
            </w:r>
          </w:p>
          <w:p w14:paraId="5ADCD09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procesora,</w:t>
            </w:r>
          </w:p>
          <w:p w14:paraId="643C4C96"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pamięci masowej,</w:t>
            </w:r>
          </w:p>
          <w:p w14:paraId="7852F4C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płyty głównej.</w:t>
            </w:r>
            <w:r w:rsidRPr="00EC4067">
              <w:rPr>
                <w:rFonts w:ascii="Calibri" w:hAnsi="Calibri" w:cs="Calibri"/>
                <w:sz w:val="22"/>
                <w:szCs w:val="22"/>
              </w:rPr>
              <w:br/>
            </w:r>
            <w:r w:rsidRPr="00EC4067">
              <w:rPr>
                <w:rFonts w:ascii="Calibri" w:hAnsi="Calibri" w:cs="Calibri"/>
                <w:sz w:val="22"/>
                <w:szCs w:val="22"/>
              </w:rPr>
              <w:br/>
              <w:t>2. Identyfikację jednostki i jej komponentów w następującym zakresie:</w:t>
            </w:r>
          </w:p>
          <w:p w14:paraId="218456E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urządzenie (producent, model, numer seryjny),</w:t>
            </w:r>
          </w:p>
          <w:p w14:paraId="6D07683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bios (producent, wersja oraz data wydania),</w:t>
            </w:r>
          </w:p>
          <w:p w14:paraId="5036B118"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procesor (nazwa, taktowanie, ilości pamięci cache L1, L2, L3),</w:t>
            </w:r>
          </w:p>
          <w:p w14:paraId="5D34C3C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pamięć ram (ilość zainstalowanej pamięci ram, producent oraz numer seryjny),</w:t>
            </w:r>
          </w:p>
          <w:p w14:paraId="4C469B6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dysk twardy (producent, model, numer seryjny, pojemność).</w:t>
            </w:r>
          </w:p>
        </w:tc>
      </w:tr>
      <w:tr w:rsidR="00A92E1C" w:rsidRPr="00EC4067" w14:paraId="0772F5DD"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2D6B3CC0"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0606581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Ekran</w:t>
            </w:r>
          </w:p>
        </w:tc>
        <w:tc>
          <w:tcPr>
            <w:tcW w:w="7016" w:type="dxa"/>
            <w:tcBorders>
              <w:top w:val="single" w:sz="4" w:space="0" w:color="00000A"/>
              <w:left w:val="single" w:sz="4" w:space="0" w:color="00000A"/>
              <w:bottom w:val="single" w:sz="4" w:space="0" w:color="00000A"/>
              <w:right w:val="single" w:sz="4" w:space="0" w:color="00000A"/>
            </w:tcBorders>
          </w:tcPr>
          <w:p w14:paraId="3C6EF32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Matowy, IPS, min. 14”, proporcje 16:10 lub 16:9, rozdzielczość min. 1920 x 1080, jasność min. 400 nitów</w:t>
            </w:r>
          </w:p>
        </w:tc>
      </w:tr>
      <w:tr w:rsidR="00A92E1C" w:rsidRPr="00EC4067" w14:paraId="75D2A04F"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604ED8D4"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4BE12A09"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Interfejsy / Komunikacja</w:t>
            </w:r>
          </w:p>
        </w:tc>
        <w:tc>
          <w:tcPr>
            <w:tcW w:w="7016" w:type="dxa"/>
            <w:tcBorders>
              <w:top w:val="single" w:sz="4" w:space="0" w:color="00000A"/>
              <w:left w:val="single" w:sz="4" w:space="0" w:color="00000A"/>
              <w:bottom w:val="single" w:sz="4" w:space="0" w:color="00000A"/>
              <w:right w:val="single" w:sz="4" w:space="0" w:color="00000A"/>
            </w:tcBorders>
          </w:tcPr>
          <w:p w14:paraId="18168020"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Minimum:</w:t>
            </w:r>
          </w:p>
          <w:p w14:paraId="323E11D5"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2 x USB-A</w:t>
            </w:r>
          </w:p>
          <w:p w14:paraId="123EF9CA"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1 x USB-C</w:t>
            </w:r>
          </w:p>
          <w:p w14:paraId="150172F5"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1 x Port Thunderbolt 4.0</w:t>
            </w:r>
          </w:p>
          <w:p w14:paraId="73A3D9CC"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1 x HDMI</w:t>
            </w:r>
          </w:p>
          <w:p w14:paraId="6FE75B2C"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1 x audio combo</w:t>
            </w:r>
          </w:p>
          <w:p w14:paraId="19A18EC3"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Łączność:</w:t>
            </w:r>
          </w:p>
          <w:p w14:paraId="65EE9858"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Wi-Fi 6 lub nowsze</w:t>
            </w:r>
          </w:p>
          <w:p w14:paraId="0D574914" w14:textId="77777777" w:rsidR="00A92E1C" w:rsidRPr="00EC4067" w:rsidRDefault="009357C5">
            <w:pPr>
              <w:spacing w:after="0" w:line="240" w:lineRule="auto"/>
              <w:rPr>
                <w:rFonts w:ascii="Calibri" w:hAnsi="Calibri" w:cs="Calibri"/>
                <w:sz w:val="22"/>
                <w:szCs w:val="22"/>
                <w:lang w:val="en-US"/>
              </w:rPr>
            </w:pPr>
            <w:r w:rsidRPr="00EC4067">
              <w:rPr>
                <w:rFonts w:ascii="Calibri" w:hAnsi="Calibri" w:cs="Calibri"/>
                <w:sz w:val="22"/>
                <w:szCs w:val="22"/>
                <w:lang w:val="en-US"/>
              </w:rPr>
              <w:t>Bluetooth 5.3 lub nowszy</w:t>
            </w:r>
          </w:p>
          <w:p w14:paraId="689B4753"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lang w:val="en-US"/>
              </w:rPr>
              <w:t>RJ-45 wbudowany.</w:t>
            </w:r>
          </w:p>
          <w:p w14:paraId="280C2ACC" w14:textId="77777777" w:rsidR="00A92E1C" w:rsidRPr="00EC4067" w:rsidRDefault="009357C5">
            <w:pPr>
              <w:spacing w:after="0" w:line="240" w:lineRule="auto"/>
              <w:rPr>
                <w:rFonts w:ascii="Calibri" w:hAnsi="Calibri" w:cs="Calibri"/>
                <w:sz w:val="22"/>
                <w:szCs w:val="22"/>
              </w:rPr>
            </w:pPr>
            <w:r w:rsidRPr="00EC4067">
              <w:rPr>
                <w:rStyle w:val="normaltextrun"/>
                <w:rFonts w:ascii="Calibri" w:hAnsi="Calibri" w:cs="Calibri"/>
                <w:color w:val="000000"/>
                <w:sz w:val="22"/>
                <w:szCs w:val="22"/>
              </w:rPr>
              <w:t>Nie dopuszcza się osiągnięcia wymaganych portów poprzez zastosowanie przejściówek lub czytników zewnętrznych.</w:t>
            </w:r>
          </w:p>
        </w:tc>
      </w:tr>
      <w:tr w:rsidR="00A92E1C" w:rsidRPr="00EC4067" w14:paraId="1E9BE200"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2C5CEC7D"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03E93F9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Karta sieciowa WLAN</w:t>
            </w:r>
          </w:p>
        </w:tc>
        <w:tc>
          <w:tcPr>
            <w:tcW w:w="7016" w:type="dxa"/>
            <w:tcBorders>
              <w:top w:val="single" w:sz="4" w:space="0" w:color="00000A"/>
              <w:left w:val="single" w:sz="4" w:space="0" w:color="00000A"/>
              <w:bottom w:val="single" w:sz="4" w:space="0" w:color="00000A"/>
              <w:right w:val="single" w:sz="4" w:space="0" w:color="00000A"/>
            </w:tcBorders>
          </w:tcPr>
          <w:p w14:paraId="2638747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Wbudowana karta sieciowa, pracująca w standardzie Wi-Fi 6E</w:t>
            </w:r>
          </w:p>
          <w:p w14:paraId="5ED7F9E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Bluetooth min. 5.3</w:t>
            </w:r>
          </w:p>
        </w:tc>
      </w:tr>
      <w:tr w:rsidR="00A92E1C" w:rsidRPr="00EC4067" w14:paraId="59B32DCD"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5D39D8DD"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0F417F5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Klawiatura</w:t>
            </w:r>
          </w:p>
        </w:tc>
        <w:tc>
          <w:tcPr>
            <w:tcW w:w="7016" w:type="dxa"/>
            <w:tcBorders>
              <w:top w:val="single" w:sz="4" w:space="0" w:color="00000A"/>
              <w:left w:val="single" w:sz="4" w:space="0" w:color="00000A"/>
              <w:bottom w:val="single" w:sz="4" w:space="0" w:color="00000A"/>
              <w:right w:val="single" w:sz="4" w:space="0" w:color="00000A"/>
            </w:tcBorders>
          </w:tcPr>
          <w:p w14:paraId="5EBED30B"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układ polski programisty (QWERTY PL)</w:t>
            </w:r>
          </w:p>
        </w:tc>
      </w:tr>
      <w:tr w:rsidR="00A92E1C" w:rsidRPr="00EC4067" w14:paraId="2E655ABA"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49F10563"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3E6880BB"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Czytnik linii papilarnych</w:t>
            </w:r>
          </w:p>
        </w:tc>
        <w:tc>
          <w:tcPr>
            <w:tcW w:w="7016" w:type="dxa"/>
            <w:tcBorders>
              <w:top w:val="single" w:sz="4" w:space="0" w:color="00000A"/>
              <w:left w:val="single" w:sz="4" w:space="0" w:color="00000A"/>
              <w:bottom w:val="single" w:sz="4" w:space="0" w:color="00000A"/>
              <w:right w:val="single" w:sz="4" w:space="0" w:color="00000A"/>
            </w:tcBorders>
          </w:tcPr>
          <w:p w14:paraId="4A1F50A3"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Wbudowany czytnik linii papilarnych w przycisku zasilania. Przycisk zasilania znajdujący się poza obrysem klawiatury, celem uniknięcia przypadkowego naciśnięcia. Nie dopuszcza się umiejscowienia przycisku włączania np. w górnym rzędzie klawiatury.</w:t>
            </w:r>
          </w:p>
        </w:tc>
      </w:tr>
      <w:tr w:rsidR="00A92E1C" w:rsidRPr="00EC4067" w14:paraId="44A047AC"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01565F6D"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6997818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Akumulator</w:t>
            </w:r>
          </w:p>
        </w:tc>
        <w:tc>
          <w:tcPr>
            <w:tcW w:w="7016" w:type="dxa"/>
            <w:tcBorders>
              <w:top w:val="single" w:sz="4" w:space="0" w:color="00000A"/>
              <w:left w:val="single" w:sz="4" w:space="0" w:color="00000A"/>
              <w:bottom w:val="single" w:sz="4" w:space="0" w:color="00000A"/>
              <w:right w:val="single" w:sz="4" w:space="0" w:color="00000A"/>
            </w:tcBorders>
          </w:tcPr>
          <w:p w14:paraId="745038C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Akumulator o pojemności min. 45 Wh, z funkcją szybkiego ładowania (do 80% w 60min)</w:t>
            </w:r>
          </w:p>
        </w:tc>
      </w:tr>
      <w:tr w:rsidR="00A92E1C" w:rsidRPr="00EC4067" w14:paraId="364D57FC"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53EA6FAB"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63CAD95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Zasilacz</w:t>
            </w:r>
          </w:p>
        </w:tc>
        <w:tc>
          <w:tcPr>
            <w:tcW w:w="7016" w:type="dxa"/>
            <w:tcBorders>
              <w:top w:val="single" w:sz="4" w:space="0" w:color="00000A"/>
              <w:left w:val="single" w:sz="4" w:space="0" w:color="00000A"/>
              <w:bottom w:val="single" w:sz="4" w:space="0" w:color="00000A"/>
              <w:right w:val="single" w:sz="4" w:space="0" w:color="00000A"/>
            </w:tcBorders>
          </w:tcPr>
          <w:p w14:paraId="780015B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Zasilacz producenta, dedykowany lub USB-C – 1 szt.</w:t>
            </w:r>
          </w:p>
        </w:tc>
      </w:tr>
      <w:tr w:rsidR="00A92E1C" w:rsidRPr="00EC4067" w14:paraId="0FEF662A"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50351E03"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20CD2D29"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Waga</w:t>
            </w:r>
          </w:p>
        </w:tc>
        <w:tc>
          <w:tcPr>
            <w:tcW w:w="7016" w:type="dxa"/>
            <w:tcBorders>
              <w:top w:val="single" w:sz="4" w:space="0" w:color="00000A"/>
              <w:left w:val="single" w:sz="4" w:space="0" w:color="00000A"/>
              <w:bottom w:val="single" w:sz="4" w:space="0" w:color="00000A"/>
              <w:right w:val="single" w:sz="4" w:space="0" w:color="00000A"/>
            </w:tcBorders>
          </w:tcPr>
          <w:p w14:paraId="7A4A5016"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Waga startowa urządzenia z akumulatorem nie większa niż 1.95 kg według karty katalogowej producenta</w:t>
            </w:r>
          </w:p>
        </w:tc>
      </w:tr>
      <w:tr w:rsidR="00A92E1C" w:rsidRPr="00EC4067" w14:paraId="10451168"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6E2F0AA2"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1DB7DD98"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System operacyjny</w:t>
            </w:r>
          </w:p>
        </w:tc>
        <w:tc>
          <w:tcPr>
            <w:tcW w:w="7016" w:type="dxa"/>
            <w:tcBorders>
              <w:top w:val="single" w:sz="4" w:space="0" w:color="00000A"/>
              <w:left w:val="single" w:sz="4" w:space="0" w:color="00000A"/>
              <w:bottom w:val="single" w:sz="4" w:space="0" w:color="00000A"/>
              <w:right w:val="single" w:sz="4" w:space="0" w:color="00000A"/>
            </w:tcBorders>
          </w:tcPr>
          <w:p w14:paraId="31BCC3B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Microsoft Windows 11 Pro 64 bit lub system operacyjny klasy PC, który spełnia następujące wymagania poprzez wbudowane mechanizmy, bez użycia dodatkowych aplikacji:</w:t>
            </w:r>
          </w:p>
          <w:p w14:paraId="31AC5556"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 Dostępne dwa rodzaje graficznego interfejsu użytkownika:</w:t>
            </w:r>
          </w:p>
          <w:p w14:paraId="3B529DA2"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a. Klasyczny, umożliwiający obsługę przy pomocy klawiatury i myszy,</w:t>
            </w:r>
          </w:p>
          <w:p w14:paraId="6B761E13"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b. Dotykowy umożliwiający sterowanie dotykiem na urządzeniach typu tablet lub monitorach dotykowych</w:t>
            </w:r>
          </w:p>
          <w:p w14:paraId="2D6CB105"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 Funkcje związane z obsługą komputerów typu tablet, z wbudowanym modułem „uczenia się” pisma użytkownika – obsługa języka polskiego</w:t>
            </w:r>
          </w:p>
          <w:p w14:paraId="3DCFD8DE"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 Interfejs użytkownika dostępny w wielu językach do wyboru – w tym polskim i angielskim</w:t>
            </w:r>
          </w:p>
          <w:p w14:paraId="69BFA47F"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4. Możliwość tworzenia pulpitów wirtualnych, przenoszenia aplikacji pomiędzy pulpitami i przełączanie się pomiędzy pulpitami za pomocą skrótów klawiaturowych lub GUI.</w:t>
            </w:r>
          </w:p>
          <w:p w14:paraId="781692E5"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5. Wbudowane w system operacyjny minimum dwie przeglądarki Internetowe</w:t>
            </w:r>
          </w:p>
          <w:p w14:paraId="150E5793"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6. 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14:paraId="624269F5"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7. Zlokalizowane w języku polskim, co najmniej następujące elementy: menu, pomoc, komunikaty systemowe, menedżer plików.</w:t>
            </w:r>
          </w:p>
          <w:p w14:paraId="28E7C7C1"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8. Graficzne środowisko instalacji i konfiguracji dostępne w języku polskim</w:t>
            </w:r>
          </w:p>
          <w:p w14:paraId="5EE6F23B"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9. Wbudowany system pomocy w języku polskim.</w:t>
            </w:r>
          </w:p>
          <w:p w14:paraId="5CE7A756"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10. Możliwość przystosowania stanowiska dla osób niepełnosprawnych (np. słabo widzących).</w:t>
            </w:r>
          </w:p>
          <w:p w14:paraId="3E0B6948"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11. Możliwość dokonywania aktualizacji i poprawek systemu poprzez mechanizm zarządzany przez administratora systemu Zamawiającego.</w:t>
            </w:r>
          </w:p>
          <w:p w14:paraId="56D2BD3B"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12. Możliwość dostarczania poprawek do systemu operacyjnego w modelu peer-to-peer.</w:t>
            </w:r>
          </w:p>
          <w:p w14:paraId="6DB2649C"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13. Możliwość sterowania czasem dostarczania nowych wersji systemu operacyjnego, możliwość centralnego opóźniania dostarczania nowej wersji o minimum 4 miesiące.</w:t>
            </w:r>
          </w:p>
          <w:p w14:paraId="6FCAAF41"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14. Zabezpieczony hasłem hierarchiczny dostęp do systemu, konta i profile użytkowników zarządzane zdalnie; praca systemu w trybie ochrony kont użytkowników.</w:t>
            </w:r>
          </w:p>
          <w:p w14:paraId="4DB230BF"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15. Możliwość dołączenia systemu do usługi katalogowej on-premise lub w chmurze.</w:t>
            </w:r>
          </w:p>
          <w:p w14:paraId="4804EB06"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16. Umożliwienie zablokowania urządzenia w ramach danego konta tylko do uruchamiania wybranej aplikacji - tryb "kiosk".</w:t>
            </w:r>
          </w:p>
          <w:p w14:paraId="7FB924A3"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17. 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14:paraId="7CBF6AC9"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18. Zdalna pomoc i współdzielenie aplikacji – możliwość zdalnego przejęcia sesji zalogowanego użytkownika celem rozwiązania problemu z komputerem.</w:t>
            </w:r>
          </w:p>
          <w:p w14:paraId="56709EAC"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19. Transakcyjny system plików pozwalający na stosowanie przydziałów (ang. quota) na dysku dla użytkowników oraz zapewniający większą niezawodność i pozwalający tworzyć kopie zapasowe.</w:t>
            </w:r>
          </w:p>
          <w:p w14:paraId="39841DDA"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20. Oprogramowanie dla tworzenia kopii zapasowych (Backup); automatyczne wykonywanie kopii plików z możliwością automatycznego przywrócenia wersji wcześniejszej.</w:t>
            </w:r>
          </w:p>
          <w:p w14:paraId="1C7A0738"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21. Możliwość przywracania obrazu plików systemowych do uprzednio zapisanej postaci.</w:t>
            </w:r>
          </w:p>
          <w:p w14:paraId="1073ACB7"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22. Możliwość przywracania systemu operacyjnego do stanu początkowego z pozostawieniem plików użytkownika.</w:t>
            </w:r>
          </w:p>
          <w:p w14:paraId="40B592E4"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23. Możliwość blokowania lub dopuszczania dowolnych urządzeń peryferyjnych za pomocą polityk grupowych (np. przy użyciu numerów identyfikacyjnych sprzętu)."</w:t>
            </w:r>
          </w:p>
          <w:p w14:paraId="10D10754"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24. Wbudowany mechanizm wirtualizacji typu hypervisor."</w:t>
            </w:r>
          </w:p>
          <w:p w14:paraId="3E12D478"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25. Wbudowana możliwość zdalnego dostępu do systemu i pracy zdalnej z wykorzystaniem pełnego interfejsu graficznego.</w:t>
            </w:r>
          </w:p>
          <w:p w14:paraId="736DC6D9"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26. Dostępność bezpłatnych biuletynów bezpieczeństwa związanych z działaniem systemu operacyjnego.</w:t>
            </w:r>
          </w:p>
          <w:p w14:paraId="55726911"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27. Wbudowana zapora internetowa (firewall) dla ochrony połączeń internetowych, zintegrowana z systemem konsola do zarządzania ustawieniami zapory i regułami IP v4 i v6.</w:t>
            </w:r>
          </w:p>
          <w:p w14:paraId="2135A34B"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28. 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21C6403A"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29. Możliwość zdefiniowania zarządzanych aplikacji w taki sposób aby automatycznie szyfrowały pliki na poziomie systemu plików. Blokowanie bezpośredniego kopiowania treści między aplikacjami zarządzanymi a niezarządzanymi.</w:t>
            </w:r>
          </w:p>
          <w:p w14:paraId="4D9AAB97"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30. Wbudowany system uwierzytelnienia dwuskładnikowego oparty o certyfikat lub klucz prywatny oraz PIN lub uwierzytelnienie biometryczne.</w:t>
            </w:r>
          </w:p>
          <w:p w14:paraId="41B59460"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31. Wbudowane mechanizmy ochrony antywirusowej i przeciw złośliwemu oprogramowaniu z zapewnionymi bezpłatnymi aktualizacjami.</w:t>
            </w:r>
          </w:p>
          <w:p w14:paraId="6E09FC84"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32. Wbudowany system szyfrowania dysku twardego ze wsparciem modułu TPM</w:t>
            </w:r>
          </w:p>
          <w:p w14:paraId="10294566"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33. Możliwość tworzenia i przechowywania kopii zapasowych kluczy odzyskiwania do szyfrowania dysku w usługach katalogowych.</w:t>
            </w:r>
          </w:p>
          <w:p w14:paraId="1A580DD5"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34. Możliwość tworzenia wirtualnych kart inteligentnych.</w:t>
            </w:r>
          </w:p>
          <w:p w14:paraId="3F176B90"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35. Wsparcie dla firmware UEFI i funkcji bezpiecznego rozruchu (Secure Boot)</w:t>
            </w:r>
          </w:p>
          <w:p w14:paraId="00863C39"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36. Wbudowany w system, wykorzystywany automatycznie przez wbudowane przeglądarki filtr reputacyjny URL.</w:t>
            </w:r>
          </w:p>
          <w:p w14:paraId="38C10011"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37. Wsparcie dla IPSEC oparte na politykach – wdrażanie IPSEC oparte na zestawach reguł definiujących ustawienia zarządzanych w sposób centralny.</w:t>
            </w:r>
          </w:p>
          <w:p w14:paraId="5F2C7034"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38. Mechanizmy logowania w oparciu o:</w:t>
            </w:r>
          </w:p>
          <w:p w14:paraId="46D97300"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a. Login i hasło,</w:t>
            </w:r>
          </w:p>
          <w:p w14:paraId="1F1DA75C"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b. Karty inteligentne i certyfikaty (smartcard),</w:t>
            </w:r>
          </w:p>
          <w:p w14:paraId="4FAA3E86"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c. Wirtualne karty inteligentne i certyfikaty (logowanie w oparciu o certyfikat chroniony poprzez moduł TPM),</w:t>
            </w:r>
          </w:p>
          <w:p w14:paraId="512D8D2B"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d. Certyfikat/Klucz i PIN</w:t>
            </w:r>
          </w:p>
          <w:p w14:paraId="5B8D9970"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e. Certyfikat/Klucz i uwierzytelnienie biometryczne</w:t>
            </w:r>
          </w:p>
          <w:p w14:paraId="62445053"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39. Wsparcie dla uwierzytelniania na bazie Kerberos v. 5</w:t>
            </w:r>
          </w:p>
          <w:p w14:paraId="71CA7CE8"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40. Wbudowany agent do zbierania danych na temat zagrożeń na stacji roboczej.</w:t>
            </w:r>
          </w:p>
          <w:p w14:paraId="0026BAAF"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41. Wsparcie .NET Framework 2.x, 3.x i 4.x – możliwość uruchomienia aplikacji działających we wskazanych środowiskach</w:t>
            </w:r>
          </w:p>
          <w:p w14:paraId="68D47C5A" w14:textId="77777777" w:rsidR="00A92E1C" w:rsidRPr="00EC4067" w:rsidRDefault="009357C5">
            <w:pPr>
              <w:spacing w:after="0" w:line="240" w:lineRule="auto"/>
              <w:jc w:val="both"/>
              <w:rPr>
                <w:rFonts w:ascii="Calibri" w:hAnsi="Calibri" w:cs="Calibri"/>
                <w:sz w:val="22"/>
                <w:szCs w:val="22"/>
              </w:rPr>
            </w:pPr>
            <w:r w:rsidRPr="00EC4067">
              <w:rPr>
                <w:rFonts w:ascii="Calibri" w:hAnsi="Calibri" w:cs="Calibri"/>
                <w:sz w:val="22"/>
                <w:szCs w:val="22"/>
              </w:rPr>
              <w:t>42. Wsparcie dla VBScript – możliwość uruchamiania interpretera poleceń</w:t>
            </w:r>
          </w:p>
          <w:p w14:paraId="3AB36C0D"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43. Wsparcie dla PowerShell 5.x – możliwość uruchamiania interpretera poleceń</w:t>
            </w:r>
          </w:p>
        </w:tc>
      </w:tr>
      <w:tr w:rsidR="00A92E1C" w:rsidRPr="00EC4067" w14:paraId="3916257E"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44B97EB9"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1B3F650A"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Pakiet biurowy</w:t>
            </w:r>
          </w:p>
        </w:tc>
        <w:tc>
          <w:tcPr>
            <w:tcW w:w="7016" w:type="dxa"/>
            <w:tcBorders>
              <w:top w:val="single" w:sz="4" w:space="0" w:color="00000A"/>
              <w:left w:val="single" w:sz="4" w:space="0" w:color="00000A"/>
              <w:bottom w:val="single" w:sz="4" w:space="0" w:color="00000A"/>
              <w:right w:val="single" w:sz="4" w:space="0" w:color="00000A"/>
            </w:tcBorders>
          </w:tcPr>
          <w:p w14:paraId="6A13DE56"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Pakiet biurowy w polskiej wersji językowej, licencja komercyjna, bezterminowa (wieczysta), niewymagająca odnawiania ani opłat abonamentowych - MS Office 2024 lub równoważny zawierający co najmniej:</w:t>
            </w:r>
          </w:p>
          <w:p w14:paraId="174581CE" w14:textId="77777777" w:rsidR="00A92E1C" w:rsidRPr="00EC4067" w:rsidRDefault="00A92E1C">
            <w:pPr>
              <w:spacing w:after="0" w:line="240" w:lineRule="auto"/>
              <w:rPr>
                <w:rFonts w:ascii="Calibri" w:hAnsi="Calibri" w:cs="Calibri"/>
                <w:sz w:val="22"/>
                <w:szCs w:val="22"/>
              </w:rPr>
            </w:pPr>
          </w:p>
          <w:p w14:paraId="60917947"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edytor tekstu,</w:t>
            </w:r>
          </w:p>
          <w:p w14:paraId="47E67089"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arkusz kalkulacyjny,</w:t>
            </w:r>
          </w:p>
          <w:p w14:paraId="6E780624"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program do tworzenia prezentacji,</w:t>
            </w:r>
          </w:p>
          <w:p w14:paraId="0D909322"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program pocztowy.</w:t>
            </w:r>
          </w:p>
          <w:p w14:paraId="7E694328" w14:textId="77777777" w:rsidR="00A92E1C" w:rsidRPr="00EC4067" w:rsidRDefault="00A92E1C">
            <w:pPr>
              <w:spacing w:after="0" w:line="240" w:lineRule="auto"/>
              <w:rPr>
                <w:rFonts w:ascii="Calibri" w:hAnsi="Calibri" w:cs="Calibri"/>
                <w:sz w:val="22"/>
                <w:szCs w:val="22"/>
              </w:rPr>
            </w:pPr>
          </w:p>
          <w:p w14:paraId="2742647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Pakiet biurowy musi być nowy, nieużywany, nigdy wcześniej nieaktywowany oraz posiadać licencję umożliwiającą użytkowanie komercyjne. (warunki równoważności szczegółowo opisano w części D.)</w:t>
            </w:r>
          </w:p>
        </w:tc>
      </w:tr>
      <w:tr w:rsidR="00A92E1C" w:rsidRPr="00EC4067" w14:paraId="789A0608"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21A925F2"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71218037"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Akcesoria</w:t>
            </w:r>
          </w:p>
        </w:tc>
        <w:tc>
          <w:tcPr>
            <w:tcW w:w="7016" w:type="dxa"/>
            <w:tcBorders>
              <w:top w:val="single" w:sz="4" w:space="0" w:color="00000A"/>
              <w:left w:val="single" w:sz="4" w:space="0" w:color="00000A"/>
              <w:bottom w:val="single" w:sz="4" w:space="0" w:color="00000A"/>
              <w:right w:val="single" w:sz="4" w:space="0" w:color="00000A"/>
            </w:tcBorders>
          </w:tcPr>
          <w:p w14:paraId="2D40ACE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Torba transportowa do notebooka (rozmiar dostosowany do oferowanego sprzętu)– 1 szt.</w:t>
            </w:r>
          </w:p>
          <w:p w14:paraId="2534E09F"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Mysz bezprzewodowa – 1 szt.</w:t>
            </w:r>
          </w:p>
        </w:tc>
      </w:tr>
      <w:tr w:rsidR="00A92E1C" w:rsidRPr="00EC4067" w14:paraId="52A3D10C"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47E64BAE"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68F225E7" w14:textId="77777777" w:rsidR="00A92E1C" w:rsidRPr="00EC4067" w:rsidRDefault="009357C5">
            <w:pPr>
              <w:spacing w:after="0" w:line="240" w:lineRule="auto"/>
              <w:rPr>
                <w:rFonts w:ascii="Calibri" w:hAnsi="Calibri" w:cs="Calibri"/>
                <w:bCs/>
                <w:sz w:val="22"/>
                <w:szCs w:val="22"/>
              </w:rPr>
            </w:pPr>
            <w:r w:rsidRPr="00EC4067">
              <w:rPr>
                <w:rFonts w:ascii="Calibri" w:hAnsi="Calibri" w:cs="Calibri"/>
                <w:bCs/>
                <w:sz w:val="22"/>
                <w:szCs w:val="22"/>
              </w:rPr>
              <w:t>Oprogramowanie do aktualizacji sterowników</w:t>
            </w:r>
          </w:p>
        </w:tc>
        <w:tc>
          <w:tcPr>
            <w:tcW w:w="7016" w:type="dxa"/>
            <w:tcBorders>
              <w:top w:val="single" w:sz="4" w:space="0" w:color="00000A"/>
              <w:left w:val="single" w:sz="4" w:space="0" w:color="00000A"/>
              <w:bottom w:val="single" w:sz="4" w:space="0" w:color="00000A"/>
              <w:right w:val="single" w:sz="4" w:space="0" w:color="00000A"/>
            </w:tcBorders>
          </w:tcPr>
          <w:p w14:paraId="2CA50B00" w14:textId="77777777" w:rsidR="00A92E1C" w:rsidRPr="00EC4067" w:rsidRDefault="009357C5">
            <w:pPr>
              <w:spacing w:after="0" w:line="240" w:lineRule="auto"/>
              <w:rPr>
                <w:rFonts w:ascii="Calibri" w:hAnsi="Calibri" w:cs="Calibri"/>
                <w:sz w:val="22"/>
                <w:szCs w:val="22"/>
              </w:rPr>
            </w:pPr>
            <w:r w:rsidRPr="00EC4067">
              <w:rPr>
                <w:rFonts w:ascii="Calibri" w:hAnsi="Calibri" w:cs="Calibri"/>
                <w:bCs/>
                <w:sz w:val="22"/>
                <w:szCs w:val="22"/>
              </w:rPr>
              <w:t>Oprogramowanie producenta oferowanego sprzętu umożliwiające automatyczną weryfikacje i instalację sterowników oraz oprogramowania dołączanego przez producenta w tym również wgranie najnowszej wersji BIOS. Oprogramowanie musi automatycznie łączyć się z centralną bazą sterowników i oprogramowania producenta, sprawdzać dostępne aktualizacje i zapewniać zbiorczą instalację wszystkich sterowników i aplikacji bez ingerencji użytkownika.</w:t>
            </w:r>
          </w:p>
        </w:tc>
      </w:tr>
      <w:tr w:rsidR="00A92E1C" w:rsidRPr="00EC4067" w14:paraId="08EC2074"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71978F39"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5E5E840D" w14:textId="77777777" w:rsidR="00A92E1C" w:rsidRPr="00EC4067" w:rsidRDefault="009357C5">
            <w:pPr>
              <w:spacing w:after="0" w:line="240" w:lineRule="auto"/>
              <w:rPr>
                <w:rFonts w:ascii="Calibri" w:hAnsi="Calibri" w:cs="Calibri"/>
                <w:bCs/>
                <w:sz w:val="22"/>
                <w:szCs w:val="22"/>
              </w:rPr>
            </w:pPr>
            <w:r w:rsidRPr="00EC4067">
              <w:rPr>
                <w:rFonts w:ascii="Calibri" w:hAnsi="Calibri" w:cs="Calibri"/>
                <w:bCs/>
                <w:sz w:val="22"/>
                <w:szCs w:val="22"/>
              </w:rPr>
              <w:t>Gwarancja i wsparcie techniczne producenta</w:t>
            </w:r>
          </w:p>
        </w:tc>
        <w:tc>
          <w:tcPr>
            <w:tcW w:w="7016" w:type="dxa"/>
            <w:tcBorders>
              <w:top w:val="single" w:sz="4" w:space="0" w:color="00000A"/>
              <w:left w:val="single" w:sz="4" w:space="0" w:color="00000A"/>
              <w:bottom w:val="single" w:sz="4" w:space="0" w:color="00000A"/>
              <w:right w:val="single" w:sz="4" w:space="0" w:color="00000A"/>
            </w:tcBorders>
          </w:tcPr>
          <w:p w14:paraId="6AFCDAC9"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Minimum 36 miesięcy gwarancji producenta sprzętu. W przypadku uszkodzenia dysku, uszkodzony nośnik zostaje u zamawiającego.</w:t>
            </w:r>
          </w:p>
          <w:p w14:paraId="016238B9" w14:textId="77777777" w:rsidR="00A92E1C" w:rsidRPr="00EC4067" w:rsidRDefault="00A92E1C">
            <w:pPr>
              <w:spacing w:after="0" w:line="240" w:lineRule="auto"/>
              <w:rPr>
                <w:rFonts w:ascii="Calibri" w:hAnsi="Calibri" w:cs="Calibri"/>
                <w:sz w:val="22"/>
                <w:szCs w:val="22"/>
              </w:rPr>
            </w:pPr>
          </w:p>
          <w:p w14:paraId="3026D3AB"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Bezpłatna infolinia w języku polskim obsługująca zgłoszenia serwisowe i oferująca wsparcie techniczne w zakresie co najmniej:</w:t>
            </w:r>
          </w:p>
          <w:p w14:paraId="5C93256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wsparcia technicznego dla zakupionego sprzętu,</w:t>
            </w:r>
          </w:p>
          <w:p w14:paraId="140DF2EA"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weryfikacji konfiguracji fabrycznej zakupionego sprzętu,</w:t>
            </w:r>
          </w:p>
          <w:p w14:paraId="762CAFC1"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weryfikacji statusu gwarancji zakupionego sprzętu.</w:t>
            </w:r>
          </w:p>
          <w:p w14:paraId="2B5F7A86" w14:textId="77777777" w:rsidR="00A92E1C" w:rsidRPr="00EC4067" w:rsidRDefault="00A92E1C">
            <w:pPr>
              <w:spacing w:after="0" w:line="240" w:lineRule="auto"/>
              <w:rPr>
                <w:rFonts w:ascii="Calibri" w:hAnsi="Calibri" w:cs="Calibri"/>
                <w:sz w:val="22"/>
                <w:szCs w:val="22"/>
              </w:rPr>
            </w:pPr>
          </w:p>
        </w:tc>
      </w:tr>
      <w:tr w:rsidR="00A92E1C" w:rsidRPr="00EC4067" w14:paraId="2D626C5A"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65A5B756"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21775D19" w14:textId="77777777" w:rsidR="00A92E1C" w:rsidRPr="00EC4067" w:rsidRDefault="00A92E1C">
            <w:pPr>
              <w:spacing w:after="0" w:line="240" w:lineRule="auto"/>
              <w:rPr>
                <w:rFonts w:ascii="Calibri" w:hAnsi="Calibri" w:cs="Calibri"/>
                <w:sz w:val="22"/>
                <w:szCs w:val="22"/>
              </w:rPr>
            </w:pPr>
          </w:p>
        </w:tc>
        <w:tc>
          <w:tcPr>
            <w:tcW w:w="7016" w:type="dxa"/>
            <w:tcBorders>
              <w:top w:val="single" w:sz="4" w:space="0" w:color="00000A"/>
              <w:left w:val="single" w:sz="4" w:space="0" w:color="00000A"/>
              <w:bottom w:val="single" w:sz="4" w:space="0" w:color="00000A"/>
              <w:right w:val="single" w:sz="4" w:space="0" w:color="00000A"/>
            </w:tcBorders>
          </w:tcPr>
          <w:p w14:paraId="7B3B4F69" w14:textId="77777777" w:rsidR="00A92E1C" w:rsidRPr="00EC4067" w:rsidRDefault="00A92E1C">
            <w:pPr>
              <w:spacing w:after="0" w:line="240" w:lineRule="auto"/>
              <w:rPr>
                <w:rFonts w:ascii="Calibri" w:hAnsi="Calibri" w:cs="Calibri"/>
                <w:sz w:val="22"/>
                <w:szCs w:val="22"/>
              </w:rPr>
            </w:pPr>
          </w:p>
        </w:tc>
      </w:tr>
      <w:tr w:rsidR="00A92E1C" w:rsidRPr="00EC4067" w14:paraId="3248AECD" w14:textId="77777777" w:rsidTr="00884326">
        <w:trPr>
          <w:trHeight w:val="284"/>
        </w:trPr>
        <w:tc>
          <w:tcPr>
            <w:tcW w:w="436" w:type="dxa"/>
            <w:tcBorders>
              <w:top w:val="single" w:sz="4" w:space="0" w:color="00000A"/>
              <w:left w:val="single" w:sz="4" w:space="0" w:color="00000A"/>
              <w:bottom w:val="single" w:sz="4" w:space="0" w:color="00000A"/>
              <w:right w:val="single" w:sz="4" w:space="0" w:color="00000A"/>
            </w:tcBorders>
          </w:tcPr>
          <w:p w14:paraId="33E38041" w14:textId="77777777" w:rsidR="00A92E1C" w:rsidRPr="00EC4067" w:rsidRDefault="00A92E1C">
            <w:pPr>
              <w:numPr>
                <w:ilvl w:val="0"/>
                <w:numId w:val="9"/>
              </w:numPr>
              <w:spacing w:after="0" w:line="240" w:lineRule="auto"/>
              <w:rPr>
                <w:rFonts w:ascii="Calibri" w:hAnsi="Calibri" w:cs="Calibri"/>
                <w:bCs/>
                <w:sz w:val="22"/>
                <w:szCs w:val="22"/>
              </w:rPr>
            </w:pPr>
          </w:p>
        </w:tc>
        <w:tc>
          <w:tcPr>
            <w:tcW w:w="1532" w:type="dxa"/>
            <w:tcBorders>
              <w:top w:val="single" w:sz="4" w:space="0" w:color="00000A"/>
              <w:left w:val="single" w:sz="4" w:space="0" w:color="00000A"/>
              <w:bottom w:val="single" w:sz="4" w:space="0" w:color="00000A"/>
              <w:right w:val="single" w:sz="4" w:space="0" w:color="00000A"/>
            </w:tcBorders>
          </w:tcPr>
          <w:p w14:paraId="39BC02FF" w14:textId="77777777" w:rsidR="00A92E1C" w:rsidRPr="00EC4067" w:rsidRDefault="00A92E1C">
            <w:pPr>
              <w:spacing w:after="0" w:line="240" w:lineRule="auto"/>
              <w:rPr>
                <w:rFonts w:ascii="Calibri" w:hAnsi="Calibri" w:cs="Calibri"/>
                <w:sz w:val="22"/>
                <w:szCs w:val="22"/>
              </w:rPr>
            </w:pPr>
          </w:p>
        </w:tc>
        <w:tc>
          <w:tcPr>
            <w:tcW w:w="7016" w:type="dxa"/>
            <w:tcBorders>
              <w:top w:val="single" w:sz="4" w:space="0" w:color="00000A"/>
              <w:left w:val="single" w:sz="4" w:space="0" w:color="00000A"/>
              <w:bottom w:val="single" w:sz="4" w:space="0" w:color="00000A"/>
              <w:right w:val="single" w:sz="4" w:space="0" w:color="00000A"/>
            </w:tcBorders>
          </w:tcPr>
          <w:p w14:paraId="7CCBD21D" w14:textId="77777777" w:rsidR="00A92E1C" w:rsidRPr="00EC4067" w:rsidRDefault="00A92E1C">
            <w:pPr>
              <w:spacing w:after="0" w:line="240" w:lineRule="auto"/>
              <w:rPr>
                <w:rFonts w:ascii="Calibri" w:hAnsi="Calibri" w:cs="Calibri"/>
                <w:sz w:val="22"/>
                <w:szCs w:val="22"/>
              </w:rPr>
            </w:pPr>
          </w:p>
        </w:tc>
      </w:tr>
    </w:tbl>
    <w:p w14:paraId="2966C983" w14:textId="77777777" w:rsidR="00A92E1C" w:rsidRPr="00EC4067" w:rsidRDefault="00A92E1C">
      <w:pPr>
        <w:spacing w:after="0" w:line="240" w:lineRule="auto"/>
        <w:rPr>
          <w:rFonts w:ascii="Calibri" w:hAnsi="Calibri" w:cs="Calibri"/>
          <w:b/>
          <w:bCs/>
          <w:sz w:val="22"/>
          <w:szCs w:val="22"/>
          <w:lang w:eastAsia="zh-CN"/>
        </w:rPr>
      </w:pPr>
    </w:p>
    <w:p w14:paraId="674D74AA"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UWAGA !!! </w:t>
      </w:r>
    </w:p>
    <w:p w14:paraId="218181F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1. W przypadku uszkodzenia dysków twardych (również zamontowanych w zestawach komputerowych) w czasie trwania gwarancji – ewentualna naprawa urządzeń może odbywać się wyłącznie w siedzibie zamawiającego pod nadzorem osoby wyznaczonej przez zamawiającego. </w:t>
      </w:r>
    </w:p>
    <w:p w14:paraId="0062A869"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2. W przypadku konieczności wymiany dysku – dostawca dostarczy zamawiającemu identyczne urządzenie, nie roszcząc sobie żadnych praw do uszkodzonego (wymienianego) urządzenia. </w:t>
      </w:r>
    </w:p>
    <w:p w14:paraId="63E37DEA"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3. W przypadku konieczności naprawy poza siedzibą zamawiającego jakichkolwiek urządzeń zawierających nośniki danych, zostaną one udostępnione bez nośników. </w:t>
      </w:r>
    </w:p>
    <w:p w14:paraId="225201E9" w14:textId="2D8BB125"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w:t>
      </w:r>
    </w:p>
    <w:p w14:paraId="4AA69247" w14:textId="4483D1BC"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b/>
          <w:bCs/>
          <w:sz w:val="22"/>
          <w:szCs w:val="22"/>
        </w:rPr>
        <w:t xml:space="preserve">C. </w:t>
      </w:r>
      <w:r w:rsidRPr="00EC4067">
        <w:rPr>
          <w:rFonts w:ascii="Calibri" w:hAnsi="Calibri" w:cs="Calibri"/>
          <w:sz w:val="22"/>
          <w:szCs w:val="22"/>
        </w:rPr>
        <w:t>System operacyjny do wyposażenia komputerów – warunki równoważności dla systemu Windows 11 Pro</w:t>
      </w:r>
      <w:r w:rsidR="00884326">
        <w:rPr>
          <w:rFonts w:ascii="Calibri" w:hAnsi="Calibri" w:cs="Calibri"/>
          <w:sz w:val="22"/>
          <w:szCs w:val="22"/>
        </w:rPr>
        <w:t>:</w:t>
      </w:r>
    </w:p>
    <w:p w14:paraId="73467A9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 Dokonywanie darmowych aktualizacji i poprawek systemu w języku polskim przez Internet z możliwością wyboru instalowanych poprawek; </w:t>
      </w:r>
    </w:p>
    <w:p w14:paraId="71D9FA0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 Nie może ograniczać możliwości instalacji w przyszłości nowego powszechnie dostępnego sprzętu (sterowniki) oraz oprogramowania, w tym zgodności z oprogramowaniem użytkowanym i zakupionym przez Zamawiającego. </w:t>
      </w:r>
    </w:p>
    <w:p w14:paraId="5259AC1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3. Musi być w pełni kompatybilny z oferowanym sprzętem; </w:t>
      </w:r>
    </w:p>
    <w:p w14:paraId="552BEE8F"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4. Wsparcie dla większości powszechnie używanych urządzeń peryferyjnych (drukarek, urządzeń sieciowych, standardów USB, Plug&amp;Play, Wi-Fi); </w:t>
      </w:r>
    </w:p>
    <w:p w14:paraId="116BB5A0"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5. Możliwość zdalnej automatycznej instalacji, konfiguracji, administrowania oraz aktualizowania systemu; </w:t>
      </w:r>
    </w:p>
    <w:p w14:paraId="6C236E2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6. Wbudowana zapora internetowa (firewall) dla ochrony połączeń internetowych; zintegrowana z systemem konsola do zarządzania ustawieniami zapory i regułami IP v4 i v6; </w:t>
      </w:r>
    </w:p>
    <w:p w14:paraId="26459C65"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7. Musi być zgodny z użytkowanym u Zamawiającego oprogramowaniem antywirusowym FortiClient; </w:t>
      </w:r>
    </w:p>
    <w:p w14:paraId="578D9A71"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8. Zintegrowane z systemem operacyjnym narzędzia zwalczające złośliwe oprogramowanie; aktualizacje dostępne u producenta nieodpłatnie bez ograniczeń czasowych. </w:t>
      </w:r>
    </w:p>
    <w:p w14:paraId="6E6AD364"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9. Funkcjonalność automatycznej zmiany domyślnej drukarki w zależności od sieci, do której podłączony </w:t>
      </w:r>
    </w:p>
    <w:p w14:paraId="133C843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jest komputer; </w:t>
      </w:r>
    </w:p>
    <w:p w14:paraId="13A8E03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10. Zintegrowany z systemem operacyjnym moduł synchronizacji komputera z urządzeniami zewnętrznymi. </w:t>
      </w:r>
    </w:p>
    <w:p w14:paraId="50AE543A"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11. Interfejs użytkownika działający w trybie graficznym z elementami 3D, zintegrowana z interfejsem </w:t>
      </w:r>
    </w:p>
    <w:p w14:paraId="4AE22264"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użytkownika interaktywna część pulpitu służąca do uruchamiania aplikacji, które użytkownik może dowolnie wymieniać i pobrać ze strony producenta; </w:t>
      </w:r>
    </w:p>
    <w:p w14:paraId="604E30B1"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12. Graficzne środowisko instalacji i konfiguracji; </w:t>
      </w:r>
    </w:p>
    <w:p w14:paraId="32AED264"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13. Musi mieć możliwość tworzenia wielu kont użytkowników o różnych poziomach uprawnień, zabezpieczony hasłem dostęp do systemu, konta i profile użytkowników zarządzane zdalnie; praca systemu w trybie ochrony kont użytkowników; </w:t>
      </w:r>
    </w:p>
    <w:p w14:paraId="77CA02D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14. Zintegrowany z systemem moduł wyszukiwania informacji (plików różnego typu) dostępny z kilku poziomów: poziom menu, poziom otwartego okna systemu operacyjnego; system wyszukiwania oparty na konfigurowalnym przez użytkownika module indeksacji zasobów lokalnych. </w:t>
      </w:r>
    </w:p>
    <w:p w14:paraId="1BDCF5DD"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15. Zarządzanie komputerami poprzez Zasady Grup (GPO) Active Directory MS Windows (posiadaną przez Zamawiającego), WMI; </w:t>
      </w:r>
    </w:p>
    <w:p w14:paraId="06D0D27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16. Wbudowany system pomocy w języku polskim; </w:t>
      </w:r>
    </w:p>
    <w:p w14:paraId="1426D50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17. Możliwość przystosowania stanowiska dla osób niepełnosprawnych (np. słabo widzących); </w:t>
      </w:r>
    </w:p>
    <w:p w14:paraId="30C7576B"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18. Wdrażanie IPSEC oparte na politykach – wdrażanie IPSEC oparte na zestawach reguł definiujących ustawienia zarządzanych w sposób centralny; </w:t>
      </w:r>
    </w:p>
    <w:p w14:paraId="6A71709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19. Wsparcie dla logowania przy pomocy smartcard; </w:t>
      </w:r>
    </w:p>
    <w:p w14:paraId="1CF9776C"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20. Rozbudowane polityki bezpieczeństwa – polityki dla systemu operacyjnego i dla wskazanych aplikacji; </w:t>
      </w:r>
    </w:p>
    <w:p w14:paraId="29673BE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21. System posiada narzędzia służące do administracji, do wykonywania kopii zapasowych polityk i ich odtwarzania oraz generowania raportów z ustawień polityk; </w:t>
      </w:r>
    </w:p>
    <w:p w14:paraId="78720CAB"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22. Wsparcie dla Java i .NET Framework 2.0 i 3.0 – możliwość uruchomienia aplikacji działających </w:t>
      </w:r>
    </w:p>
    <w:p w14:paraId="4A5CF0B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we wskazanych środowiskach; </w:t>
      </w:r>
    </w:p>
    <w:p w14:paraId="6A8B41D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23. Wsparcie dla JScript i VBScript – możliwość uruchamiania interpretera poleceń; </w:t>
      </w:r>
    </w:p>
    <w:p w14:paraId="7B6AD3FC"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24. Zdalna pomoc i współdzielenie aplikacji – możliwość zdalnego przejęcia sesji zalogowanego użytkownika celem rozwiązania problemu z komputerem; </w:t>
      </w:r>
    </w:p>
    <w:p w14:paraId="4C5371CB"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25. Rozwiązanie służące do automatycznego zbudowania obrazu systemu wraz z aplikacjami. Obraz systemu służyć ma do automatycznego upowszechnienia systemu operacyjnego inicjowanego i wykonywanego w całości poprzez sieć komputerową; </w:t>
      </w:r>
    </w:p>
    <w:p w14:paraId="38414D5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26. Rozwiązanie ma umożliwiające wdrożenie nowego obrazu poprzez zdalną instalację; </w:t>
      </w:r>
    </w:p>
    <w:p w14:paraId="3C40DF3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27. Transakcyjny system plików pozwalający na stosowanie przydziałów (ang. quota) na dysku dla użytkowników oraz zapewniający większą niezawodność i pozwalający tworzyć kopie zapasowe; </w:t>
      </w:r>
    </w:p>
    <w:p w14:paraId="1FC02E4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28. Zarządzanie kontami użytkowników sieci oraz urządzeniami sieciowymi tj. drukarki, modemy, woluminy dyskowe, usługi katalogowe; </w:t>
      </w:r>
    </w:p>
    <w:p w14:paraId="2ABD1A5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29. Pełna integracja z domeną Active Directory MS Windows (posiadaną przez Zamawiającego) opartą na serwerach Windows Server 2012/2016/2019/2022; </w:t>
      </w:r>
    </w:p>
    <w:p w14:paraId="33A83155"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30. Oprogramowanie dla tworzenia kopii zapasowych (Backup); automatyczne wykonywanie kopii plików </w:t>
      </w:r>
    </w:p>
    <w:p w14:paraId="5679466C"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z możliwością automatycznego przywrócenia wersji wcześniejszej; </w:t>
      </w:r>
    </w:p>
    <w:p w14:paraId="058F6E1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31. Możliwość przywracania plików systemowych; </w:t>
      </w:r>
    </w:p>
    <w:p w14:paraId="6A7EF51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32. Wsparcie dla architektury 64 bitowej; </w:t>
      </w:r>
    </w:p>
    <w:p w14:paraId="238D6EEA"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33. Musi pozwalać na instalację oprogramowania użytkowanego na komputerach Zamawiającego w tym: </w:t>
      </w:r>
    </w:p>
    <w:p w14:paraId="03E4CEA5"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MS Office 2010, 2013, 2016, 2019, 2021, 2024 w wersjach standard oraz pro (w tym MS Access), LibreOffice, programów systemu InfoMedica i AMMS firmy  Asseco Poland S.A.; </w:t>
      </w:r>
    </w:p>
    <w:p w14:paraId="7BD835ED"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34. Musi pozwalać na instalację oprogramowania dostępnego w ramach podpisanych przez Zamawiającego licencji na oprogramowanie InfoMedica firmy Asseco Poland S.A. </w:t>
      </w:r>
    </w:p>
    <w:p w14:paraId="3099C8D3"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35. Musi pozwalać na instalację i poprawne funkcjonowanie oprogramowania służącego do obsługi dokumentów ubezpieczeniowych i wymiany informacji z Zakładem Ubezpieczeń Społecznych; </w:t>
      </w:r>
    </w:p>
    <w:p w14:paraId="16BA06B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36. Licencja musi: </w:t>
      </w:r>
    </w:p>
    <w:p w14:paraId="79A07FE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być nieograniczona w czasie, </w:t>
      </w:r>
    </w:p>
    <w:p w14:paraId="1D58CB6B"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pozwalać na użytkowanie komercyjne, </w:t>
      </w:r>
    </w:p>
    <w:p w14:paraId="72808862"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pozwalać na instalację na oferowanym sprzęcie nieograniczoną ilość razy; </w:t>
      </w:r>
    </w:p>
    <w:p w14:paraId="47FD0080"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500913BA"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Wszystkie w/w funkcjonalności nie mogą być realizowane z zastosowaniem wszelkiego rodzaju emulacji i wirtualizacji Microsoft Windows 11. </w:t>
      </w:r>
    </w:p>
    <w:p w14:paraId="0746AFA0"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w:t>
      </w:r>
    </w:p>
    <w:p w14:paraId="3DCC3390" w14:textId="77777777" w:rsidR="00A92E1C"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Zamawiający sugeruje system operacyjny Microsoft Windows 11 Pro PL z uwagi na fakt, iż starsze wersje systemu Windows nie otrzymują wsparcia technicznego w postaci aktualizacji, a znaczna część komputerów użytkowanych przez pracowników Zamawiającego działa w tym systemie, a pracownicy są przeszkoleni w jego obsłudze. </w:t>
      </w:r>
    </w:p>
    <w:p w14:paraId="1BC61619" w14:textId="77777777" w:rsidR="00884326" w:rsidRPr="00EC4067" w:rsidRDefault="00884326" w:rsidP="00884326">
      <w:pPr>
        <w:spacing w:after="0" w:line="240" w:lineRule="auto"/>
        <w:jc w:val="both"/>
        <w:rPr>
          <w:rFonts w:ascii="Calibri" w:hAnsi="Calibri" w:cs="Calibri"/>
          <w:sz w:val="22"/>
          <w:szCs w:val="22"/>
        </w:rPr>
      </w:pPr>
    </w:p>
    <w:p w14:paraId="5DE2FC1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W przypadku dostawy i zainstalowania przez Dostawcę systemu równoważnego, zobowiązany jest on do pokrycia wszelkich kosztów wymaganych w czasie wdrożenia oferowanego rozwiązania, w szczególności z dostosowaniem infrastruktury informatycznej, oprogramowania nią zarządzającego, systemowego i narzędziowego, zapewnienia serwisu gwarancyjnego i pogwarancyjnego, szkoleń użytkowników sprzętu oraz szkoleń certyfikowanych administratora systemów informatycznych w jednostce Zamawiającego do której dostarczono oferowa</w:t>
      </w:r>
      <w:r w:rsidRPr="00EC4067">
        <w:rPr>
          <w:rFonts w:ascii="Calibri" w:hAnsi="Calibri" w:cs="Calibri"/>
          <w:sz w:val="22"/>
          <w:szCs w:val="22"/>
        </w:rPr>
        <w:t>ne rozwiązanie. </w:t>
      </w:r>
    </w:p>
    <w:p w14:paraId="67EEFECF" w14:textId="77777777" w:rsidR="00A92E1C" w:rsidRDefault="009357C5">
      <w:pPr>
        <w:spacing w:after="0" w:line="240" w:lineRule="auto"/>
        <w:rPr>
          <w:rFonts w:ascii="Calibri" w:hAnsi="Calibri" w:cs="Calibri"/>
          <w:sz w:val="22"/>
          <w:szCs w:val="22"/>
        </w:rPr>
      </w:pPr>
      <w:r w:rsidRPr="00EC4067">
        <w:rPr>
          <w:rFonts w:ascii="Calibri" w:hAnsi="Calibri" w:cs="Calibri"/>
          <w:sz w:val="22"/>
          <w:szCs w:val="22"/>
        </w:rPr>
        <w:t>  </w:t>
      </w:r>
    </w:p>
    <w:p w14:paraId="574E754F" w14:textId="77777777" w:rsidR="00884326" w:rsidRDefault="00884326">
      <w:pPr>
        <w:spacing w:after="0" w:line="240" w:lineRule="auto"/>
        <w:rPr>
          <w:rFonts w:ascii="Calibri" w:hAnsi="Calibri" w:cs="Calibri"/>
          <w:sz w:val="22"/>
          <w:szCs w:val="22"/>
        </w:rPr>
      </w:pPr>
    </w:p>
    <w:p w14:paraId="65505D78" w14:textId="77777777" w:rsidR="00884326" w:rsidRPr="00EC4067" w:rsidRDefault="00884326">
      <w:pPr>
        <w:spacing w:after="0" w:line="240" w:lineRule="auto"/>
        <w:rPr>
          <w:rFonts w:ascii="Calibri" w:hAnsi="Calibri" w:cs="Calibri"/>
          <w:sz w:val="22"/>
          <w:szCs w:val="22"/>
        </w:rPr>
      </w:pPr>
    </w:p>
    <w:p w14:paraId="56B24B53" w14:textId="77777777" w:rsidR="00A92E1C" w:rsidRPr="00EC4067" w:rsidRDefault="009357C5">
      <w:pPr>
        <w:spacing w:after="0" w:line="240" w:lineRule="auto"/>
        <w:rPr>
          <w:rFonts w:ascii="Calibri" w:hAnsi="Calibri" w:cs="Calibri"/>
          <w:sz w:val="22"/>
          <w:szCs w:val="22"/>
        </w:rPr>
      </w:pPr>
      <w:r w:rsidRPr="00EC4067">
        <w:rPr>
          <w:rFonts w:ascii="Calibri" w:hAnsi="Calibri" w:cs="Calibri"/>
          <w:b/>
          <w:bCs/>
          <w:sz w:val="22"/>
          <w:szCs w:val="22"/>
        </w:rPr>
        <w:t>D. Warunki równoważności dla oprogramowania MS Office 2024 Home &amp; Business.</w:t>
      </w:r>
      <w:r w:rsidRPr="00EC4067">
        <w:rPr>
          <w:rFonts w:ascii="Calibri" w:hAnsi="Calibri" w:cs="Calibri"/>
          <w:sz w:val="22"/>
          <w:szCs w:val="22"/>
        </w:rPr>
        <w:t> </w:t>
      </w:r>
    </w:p>
    <w:p w14:paraId="1100A039" w14:textId="571EB835"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Zamawiający uzna pakiet oprogramowania biurowego za równoważny określonemu w formularzu cenowo-technicznym, gdy spełni poniższe wymagania: Oprogramowanie biurowe w najnowszej dostępnej na rynku wersji. Zamawiający nie dopuszcza zaoferowania pakietów biurowych, programów i planów licencyjnych opartych o rozwiązania chmury oraz rozwiązań wymagających stałych opłat w okresie używania zakupionego produktu. Dla oprogramowania musi być publicznie znany cykl życia przedstawiony przez producenta systemu i dotyczący</w:t>
      </w:r>
      <w:r w:rsidRPr="00EC4067">
        <w:rPr>
          <w:rFonts w:ascii="Calibri" w:hAnsi="Calibri" w:cs="Calibri"/>
          <w:sz w:val="22"/>
          <w:szCs w:val="22"/>
        </w:rPr>
        <w:t xml:space="preserve"> rozwoju wsparcia technicznego – w szczególności w zakresie bezpieczeństwa. Wymagane jest prawo do instalacji aktualizacji i poprawek do danej wersji oprogramowania, udostępnianych bezpłatnie przez producenta na jego stronie internetowej w okresie co najmniej 5 lat. Zamawiający wymaga, aby wszystkie elementy oprogramowania biurowego oraz jego licencja pochodziły od tego samego producenta. Zawierające w pakiecie przynajmniej edytor tekstu, arkusz kalkulacyjny, program do tworzenia prezentacji. Aplikacja do t</w:t>
      </w:r>
      <w:r w:rsidRPr="00EC4067">
        <w:rPr>
          <w:rFonts w:ascii="Calibri" w:hAnsi="Calibri" w:cs="Calibri"/>
          <w:sz w:val="22"/>
          <w:szCs w:val="22"/>
        </w:rPr>
        <w:t>worzenia prezentacji powinna umożliwiać udostępnianie prezentacji przy użyciu przeglądarki internetowej bez potrzeby instalowania dodatkowych elementów ani konfigurowania. Do każdej prezentacji można dodać wciągające wideo, aby zwrócić uwagę odbiorców. Nagrania wideo można wstawiać bezpośrednio w programie, a następnie dostosowywać je, przycinać lub oznaczać najważniejsze sceny w nagraniu zakładkami, aby zwrócić na nie szczególną uwagę. Wstawiane nagrania są domyślnie osadzone, dzięki czemu nie trzeba zarzą</w:t>
      </w:r>
      <w:r w:rsidRPr="00EC4067">
        <w:rPr>
          <w:rFonts w:ascii="Calibri" w:hAnsi="Calibri" w:cs="Calibri"/>
          <w:sz w:val="22"/>
          <w:szCs w:val="22"/>
        </w:rPr>
        <w:t>dzać dodatkowymi plikami wideo. Pliki programów edytora tekstów, arkusza kalkulacyjnego i programu do tworzenia prezentacji można przechowywać online i uzyskiwać do nich dostęp, przeglądać, edytować i udostępniać innym użytkownikom. Pakiet biurowy musi spełniać następujące wymagania: </w:t>
      </w:r>
    </w:p>
    <w:p w14:paraId="600F61DA"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4929DC69"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 Wymagania odnośnie interfejsu użytkownika: </w:t>
      </w:r>
    </w:p>
    <w:p w14:paraId="65F9776B"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a) Pełna polska wersja językowa interfejsu użytkownika. </w:t>
      </w:r>
    </w:p>
    <w:p w14:paraId="2E672474"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b) Prostota i intuicyjność obsługi, pozwalająca na pracę osobom nieposiadającym umiejętności technicznych. </w:t>
      </w:r>
    </w:p>
    <w:p w14:paraId="45EE552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c) Możliwość zintegrowania uwierzytelniania użytkowników z usługą katalogową (Active Directory lub funkcjonalnie równoważną) – użytkownik raz zalogowany z poziomu systemu operacyjnego stacji roboczej ma być automatycznie rozpoznawany we wszystkich modułach oferowanego rozwiązania bez potrzeby oddzielnego monitowania go o ponowne uwierzytelnienie się. </w:t>
      </w:r>
    </w:p>
    <w:p w14:paraId="634578E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7B3D326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2. Oprogramowanie musi umożliwiać tworzenie i edycję dokumentów elektronicznych w ustalonym formacie, który spełnia następujące warunki: </w:t>
      </w:r>
    </w:p>
    <w:p w14:paraId="75C3817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a) posiada kompletny i publicznie dostępny opis formatu, </w:t>
      </w:r>
    </w:p>
    <w:p w14:paraId="684BA42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b) ma zdefiniowany układ informacji w postaci XML zgodnie z Tabelą B1 załącznika 2 Rozporządzenia w sprawie minimalnych wymagań dla systemów teleinformatycznych (Dz.U.05.212.1766), </w:t>
      </w:r>
    </w:p>
    <w:p w14:paraId="38E53CD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c) umożliwia wykorzystanie schematów XML, </w:t>
      </w:r>
    </w:p>
    <w:p w14:paraId="4D5CDC2D"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d) wspiera w swojej specyfikacji podpis elektroniczny zgodnie z Tabelą A.1.1 załącznika 2 Rozporządzenia w sprawie minimalnych wymagań dla systemów teleinformatycznych (Dz.U.05.212.1766). </w:t>
      </w:r>
    </w:p>
    <w:p w14:paraId="7E7787C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4AA0F0E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3. Oprogramowanie musi umożliwiać dostosowanie dokumentów i szablonów do potrzeb instytucji oraz udostępniać narzędzia umożliwiające dystrybucję odpowiednich szablonów do właściwych odbiorców. </w:t>
      </w:r>
    </w:p>
    <w:p w14:paraId="1B46A17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7FAD1A02"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4. W skład oprogramowania muszą wchodzić narzędzia programistyczne umożliwiające automatyzację pracy i wymianę danych pomiędzy dokumentami i aplikacjami (język makropoleceń, język skryptowy). </w:t>
      </w:r>
    </w:p>
    <w:p w14:paraId="2ECBBF61"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5979C16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5. Do aplikacji musi być dostępna pełna dokumentacja w języku polskim. </w:t>
      </w:r>
    </w:p>
    <w:p w14:paraId="2EFE86F5"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758C315A"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6. Pakiet zintegrowanych aplikacji biurowych musi zawierać: </w:t>
      </w:r>
    </w:p>
    <w:p w14:paraId="1E4E4D6C"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a) Edytor tekstów. </w:t>
      </w:r>
    </w:p>
    <w:p w14:paraId="3CFCE84C"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b) Arkusz kalkulacyjny. </w:t>
      </w:r>
    </w:p>
    <w:p w14:paraId="4D689110"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c) Narzędzie do przygotowywania i prowadzenia prezentacji. </w:t>
      </w:r>
    </w:p>
    <w:p w14:paraId="3F91EA6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d) Narzędzie do tworzenia drukowanych materiałów informacyjnych. </w:t>
      </w:r>
    </w:p>
    <w:p w14:paraId="5BDA583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e) Narzędzie do zarządzania informacją prywatą (pocztą elektroniczną, kalendarzem, kontaktami i zadaniami). </w:t>
      </w:r>
    </w:p>
    <w:p w14:paraId="62773E4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7. Edytor tekstów musi umożliwiać: </w:t>
      </w:r>
    </w:p>
    <w:p w14:paraId="139CECC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a) Edycję i formatowanie tekstu w języku polskim wraz z obsługą języka polskiego w zakresie sprawdzania pisowni i poprawności gramatycznej oraz funkcjonalnością słownika wyrazów bliskoznacznych i autokorekty. </w:t>
      </w:r>
    </w:p>
    <w:p w14:paraId="063476F9"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b) Wstawianie oraz formatowanie tabel. </w:t>
      </w:r>
    </w:p>
    <w:p w14:paraId="25C4D86B"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c) Wstawianie oraz formatowanie obiektów graficznych. </w:t>
      </w:r>
    </w:p>
    <w:p w14:paraId="0BAF4FED"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d) Wstawianie wykresów i tabel z arkusza kalkulacyjnego (wliczając tabele przestawne). </w:t>
      </w:r>
    </w:p>
    <w:p w14:paraId="5F99DC69"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e) Automatyczne numerowanie rozdziałów, punktów, akapitów, tabel i rysunków. </w:t>
      </w:r>
    </w:p>
    <w:p w14:paraId="2CA99385"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f) Automatyczne tworzenie spisów treści. </w:t>
      </w:r>
    </w:p>
    <w:p w14:paraId="008D13F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g) Formatowanie nagłówków i stopek stron. </w:t>
      </w:r>
    </w:p>
    <w:p w14:paraId="3F43722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h) Sprawdzanie pisowni w języku polskim. </w:t>
      </w:r>
    </w:p>
    <w:p w14:paraId="197EF4F9"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i) Śledzenie zmian wprowadzonych przez użytkowników. </w:t>
      </w:r>
    </w:p>
    <w:p w14:paraId="3688B93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j) Nagrywanie, tworzenie i edycję makr automatyzujących wykonywanie czynności. </w:t>
      </w:r>
    </w:p>
    <w:p w14:paraId="36374F9F"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k) Określenie układu strony (pionowa/pozioma). </w:t>
      </w:r>
    </w:p>
    <w:p w14:paraId="02F6674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l) Wydruk dokumentów. </w:t>
      </w:r>
    </w:p>
    <w:p w14:paraId="41E49A1B"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m) Wykonywanie korespondencji seryjnej bazując na danych adresowych pochodzących z arkusza kalkulacyjnego i z narzędzia do zarządzania informacją prywatną. </w:t>
      </w:r>
    </w:p>
    <w:p w14:paraId="79F8E80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n) Pracę na dokumentach utworzonych przy pomocy Microsoft (zwany dalej jako MS) Word 2003 lub 2007 lub 2010 lub 2013 lub 2016 lub 2019 lub 2021 z zapewnieniem bezproblemowej konwersji wszystkich elementów i atrybutów dokumentu. </w:t>
      </w:r>
    </w:p>
    <w:p w14:paraId="5CEB67A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o) Zabezpieczenie dokumentów hasłem przed odczytem oraz przed wprowadzaniem modyfikacji. </w:t>
      </w:r>
    </w:p>
    <w:p w14:paraId="4DF47A90"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p) Wymagana jest dostępność do oferowanego edytora tekstu bezpłatnych narzędzi umożliwiających wykorzystanie go, jako środowiska udostępniającego formularze bazujące na schematach XML z Centralnego Repozytorium Wzorów Dokumentów Elektronicznych, które po wypełnieniu umożliwiają zapisanie pliku XML w zgodzie z obowiązującym prawem. </w:t>
      </w:r>
    </w:p>
    <w:p w14:paraId="370EBAAF"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q) Wymagana jest dostępność do oferowanego edytora tekstu bezpłatnych narzędzi (kontrolki) umożliwiających podpisanie podpisem elektronicznym pliku z zapisanym dokumentem przy pomocy certyfikatu kwalifikowanego zgodnie z wymaganiami obowiązującego w Polsce prawa. </w:t>
      </w:r>
    </w:p>
    <w:p w14:paraId="4B1C934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r) Wymagana jest dostępność do oferowanego edytora tekstu bezpłatnych narzędzi umożliwiających wykorzystanie go, jako środowiska udostępniającego formularze i pozwalające zapisać plik wynikowy w zgodzie z Rozporządzeniem o Aktach Normatywnych i Prawnych. </w:t>
      </w:r>
    </w:p>
    <w:p w14:paraId="224B047B"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32F79590"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8. Arkusz kalkulacyjny musi umożliwiać: </w:t>
      </w:r>
    </w:p>
    <w:p w14:paraId="5F317599"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a) Tworzenie raportów tabelarycznych. </w:t>
      </w:r>
    </w:p>
    <w:p w14:paraId="077968F2"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b) Tworzenie wykresów liniowych (wraz linią trendu), słupkowych, kołowych. </w:t>
      </w:r>
    </w:p>
    <w:p w14:paraId="57BBB0C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c) Tworzenie arkuszy kalkulacyjnych zawierających teksty, dane liczbowe oraz formuły przeprowadzające operacje matematyczne, logiczne, tekstowe, statystyczne oraz operacje na danych finansowych i na miarach czasu. </w:t>
      </w:r>
    </w:p>
    <w:p w14:paraId="5679AA3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d) Tworzenie raportów z zewnętrznych źródeł danych (inne arkusze kalkulacyjne, bazy danych zgodne z ODBC, pliki tekstowe, pliki XML, webservice). </w:t>
      </w:r>
    </w:p>
    <w:p w14:paraId="1483FDB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e) Obsługę kostek OLAP oraz tworzenie i edycję kwerend bazodanowych i webowych. Narzędzia wspomagające analizę statystyczną i finansową, analizę wariantową i rozwiązywanie problemów optymalizacyjnych. </w:t>
      </w:r>
    </w:p>
    <w:p w14:paraId="26A90104"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f) Tworzenie raportów tabeli przestawnych umożliwiających dynamiczną zmianę wymiarów oraz wykresów bazujących na danych z tabeli przestawnych. </w:t>
      </w:r>
    </w:p>
    <w:p w14:paraId="3C98BE63"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g) Wyszukiwanie i zamianę danych. </w:t>
      </w:r>
    </w:p>
    <w:p w14:paraId="4ACC9DD4"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h) Wykonywanie analiz danych przy użyciu formatowania warunkowego. </w:t>
      </w:r>
    </w:p>
    <w:p w14:paraId="26CF9AE5"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i) Nazywanie komórek arkusza i odwoływanie się w formułach po takiej nazwie. </w:t>
      </w:r>
    </w:p>
    <w:p w14:paraId="0576049C"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j) Nagrywanie, tworzenie i edycję makr automatyzujących wykonywanie czynności. </w:t>
      </w:r>
    </w:p>
    <w:p w14:paraId="1B9B77B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k) Formatowanie czasu, daty i wartości finansowych z polskim formatem. </w:t>
      </w:r>
    </w:p>
    <w:p w14:paraId="364D67CD"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l) Zapis wielu arkuszy kalkulacyjnych w jednym pliku. </w:t>
      </w:r>
    </w:p>
    <w:p w14:paraId="5293EAA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m) Zachowanie pełnej zgodności z formatami plików utworzonych za pomocą oprogramowania MS Excel 2003 lub 2007 lub 2010 lub 2013 lub 2016 lub 2019 lub 2021, z uwzględnieniem poprawnej realizacji użytych w nich funkcji specjalnych i makropoleceń. </w:t>
      </w:r>
    </w:p>
    <w:p w14:paraId="0F9DF7F1"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n) Zabezpieczenie dokumentów hasłem przed odczytem oraz przed wprowadzaniem modyfikacji </w:t>
      </w:r>
    </w:p>
    <w:p w14:paraId="3A3D81E9"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64ADABAC"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9. Narzędzie do przygotowywania i prowadzenia prezentacji musi umożliwiać: </w:t>
      </w:r>
    </w:p>
    <w:p w14:paraId="759FD221"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a) Przygotowywanie prezentacji multimedialnych. </w:t>
      </w:r>
    </w:p>
    <w:p w14:paraId="0F4D245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b) Prezentowanie przy użyciu projektora multimedialnego. </w:t>
      </w:r>
    </w:p>
    <w:p w14:paraId="1D78DEAD"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c) Drukowanie w formacie umożliwiającym robienie notatek. </w:t>
      </w:r>
    </w:p>
    <w:p w14:paraId="410352FD"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d) Zapisanie jako prezentacja tylko do odczytu. </w:t>
      </w:r>
    </w:p>
    <w:p w14:paraId="379379F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e) Nagrywanie narracji i dołączanie jej do prezentacji. </w:t>
      </w:r>
    </w:p>
    <w:p w14:paraId="2FBAF291"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f) Opatrywanie slajdów notatkami dla prezentera. </w:t>
      </w:r>
    </w:p>
    <w:p w14:paraId="31F8657D"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g) Umieszczanie i formatowanie tekstów, obiektów graficznych, tabel, nagrań dźwiękowych i wideo. </w:t>
      </w:r>
    </w:p>
    <w:p w14:paraId="215A4AD2"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h) Umieszczanie tabel i wykresów pochodzących z arkusza kalkulacyjnego. </w:t>
      </w:r>
    </w:p>
    <w:p w14:paraId="1FF52F09"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i) Odświeżenie wykresu znajdującego się w prezentacji po zmianie danych w źródłowym arkuszu kalkulacyjnym. </w:t>
      </w:r>
    </w:p>
    <w:p w14:paraId="1C1A3075"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j) Możliwość tworzenia animacji obiektów i całych slajdów. </w:t>
      </w:r>
    </w:p>
    <w:p w14:paraId="33C1B73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k) Prowadzenie prezentacji w trybie prezentera, gdzie slajdy są widoczne na jednym monitorze lub projektorze, a na drugim widoczne są slajdy i notatki prezentera. </w:t>
      </w:r>
    </w:p>
    <w:p w14:paraId="299EBA75"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l) Pełna zgodność z formatami plików utworzonych za pomocą oprogramowania MS PowerPoint 2003 lub 2007 lub 2010 lub 2013 lub 2016 lub 2019 lub 2021. </w:t>
      </w:r>
    </w:p>
    <w:p w14:paraId="4963EF8C"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19E9ADEC"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10. Narzędzie do tworzenia drukowanych materiałów informacyjnych musi umożliwiać: </w:t>
      </w:r>
    </w:p>
    <w:p w14:paraId="34C1E4F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a) Tworzenie i edycję drukowanych materiałów informacyjnych. </w:t>
      </w:r>
    </w:p>
    <w:p w14:paraId="0D79B45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b) Tworzenie materiałów przy użyciu dostępnych z narzędziem szablonów: broszur, biuletynów, katalogów. </w:t>
      </w:r>
    </w:p>
    <w:p w14:paraId="11085AE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c) Edycję poszczególnych stron materiałów. </w:t>
      </w:r>
    </w:p>
    <w:p w14:paraId="0895107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d) Podział treści na kolumny. </w:t>
      </w:r>
    </w:p>
    <w:p w14:paraId="59A55AF4"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e) Umieszczanie elementów graficznych. </w:t>
      </w:r>
    </w:p>
    <w:p w14:paraId="379F258C"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f) Wykorzystanie mechanizmu korespondencji seryjnej. </w:t>
      </w:r>
    </w:p>
    <w:p w14:paraId="6F703CB4"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g) Płynne przesuwanie elementów po całej stronie publikacji. </w:t>
      </w:r>
    </w:p>
    <w:p w14:paraId="3FD5C53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h) Eksport publikacji do formatu PDF oraz TIFF. </w:t>
      </w:r>
    </w:p>
    <w:p w14:paraId="06FBCAB1"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i) Wydruk publikacji. </w:t>
      </w:r>
    </w:p>
    <w:p w14:paraId="049B9782"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j) Możliwość przygotowywania materiałów do wydruku w standardzie CMYK. </w:t>
      </w:r>
    </w:p>
    <w:p w14:paraId="60101A5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64CF335A"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11. Narzędzie do zarządzania informacją prywatną (pocztą elektroniczną, kalendarzem, kontaktami i zadaniami) musi umożliwiać: </w:t>
      </w:r>
    </w:p>
    <w:p w14:paraId="7BF1E2ED"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a) Pobieranie i wysyłanie poczty elektronicznej z serwera pocztowego. </w:t>
      </w:r>
    </w:p>
    <w:p w14:paraId="099B9922"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b) Filtrowanie niechcianej poczty elektronicznej (SPAM) oraz określanie listy zablokowanych i bezpiecznych nadawców. </w:t>
      </w:r>
    </w:p>
    <w:p w14:paraId="314E6AB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c) Tworzenie katalogów, pozwalających katalogować pocztę elektroniczną. </w:t>
      </w:r>
    </w:p>
    <w:p w14:paraId="2860E59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d) Automatyczne grupowanie poczty o tym samym tytule. </w:t>
      </w:r>
    </w:p>
    <w:p w14:paraId="2855B0E5"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e) Tworzenie reguł przenoszących automatycznie nową pocztę elektroniczną do określonych katalogów bazując na słowach zawartych w tytule, adresie nadawcy i odbiorcy. </w:t>
      </w:r>
    </w:p>
    <w:p w14:paraId="7A701A81"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f) Oflagowanie poczty elektronicznej z określeniem terminu przypomnienia. </w:t>
      </w:r>
    </w:p>
    <w:p w14:paraId="39B5B47C"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g) Zarządzanie kalendarzem. </w:t>
      </w:r>
    </w:p>
    <w:p w14:paraId="0AD9C900"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h) Udostępnianie kalendarza innym użytkownikom. </w:t>
      </w:r>
    </w:p>
    <w:p w14:paraId="6000B135"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i) Przeglądanie kalendarza innych użytkowników. </w:t>
      </w:r>
    </w:p>
    <w:p w14:paraId="159B1E8A"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j) Zapraszanie uczestników na spotkanie, co po ich akceptacji powoduje automatyczne wprowadzenie spotkania w ich kalendarzach. </w:t>
      </w:r>
    </w:p>
    <w:p w14:paraId="7AEF5744"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k) Zarządzanie listą zadań. </w:t>
      </w:r>
    </w:p>
    <w:p w14:paraId="4AF3C250"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l) Zlecanie zadań innym użytkownikom. </w:t>
      </w:r>
    </w:p>
    <w:p w14:paraId="0472659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m) Zarządzanie listą kontaktów. </w:t>
      </w:r>
    </w:p>
    <w:p w14:paraId="33AFDBE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n) Udostępnianie listy kontaktów innym użytkownikom. </w:t>
      </w:r>
    </w:p>
    <w:p w14:paraId="7C93C711"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o) Przeglądanie listy kontaktów innych użytkowników. </w:t>
      </w:r>
    </w:p>
    <w:p w14:paraId="4C48C013"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p) Możliwość przesyłania kontaktów innym użytkowników. </w:t>
      </w:r>
    </w:p>
    <w:p w14:paraId="1DFD7E22"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20DCA10A"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b/>
          <w:bCs/>
          <w:sz w:val="22"/>
          <w:szCs w:val="22"/>
        </w:rPr>
        <w:t>UWAGA.</w:t>
      </w:r>
      <w:r w:rsidRPr="00EC4067">
        <w:rPr>
          <w:rFonts w:ascii="Calibri" w:hAnsi="Calibri" w:cs="Calibri"/>
          <w:sz w:val="22"/>
          <w:szCs w:val="22"/>
        </w:rPr>
        <w:t xml:space="preserve"> Obowiązek wykazania równoważności zaoferowanego pakietu oprogramowania biurowego lub systemu operacyjnego leży po stronie Wykonawcy. W tym celu Wykonawca winien przedstawić oświadczenie i dokumenty potwierdzające równoważność pakietu oprogramowania biurowego czy też systemu operacyjnego. </w:t>
      </w:r>
    </w:p>
    <w:p w14:paraId="4B1AC96F"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5DAE8821"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b/>
          <w:bCs/>
          <w:sz w:val="22"/>
          <w:szCs w:val="22"/>
        </w:rPr>
        <w:t xml:space="preserve">E. </w:t>
      </w:r>
      <w:r w:rsidRPr="00EC4067">
        <w:rPr>
          <w:rFonts w:ascii="Calibri" w:hAnsi="Calibri" w:cs="Calibri"/>
          <w:sz w:val="22"/>
          <w:szCs w:val="22"/>
        </w:rPr>
        <w:t>Zamawiający wymaga aby system operacyjny oraz oprogramowanie biurowe było nowe, nieużywane oraz nigdy wcześniej nieaktywowane na innym urządzeniu. </w:t>
      </w:r>
    </w:p>
    <w:p w14:paraId="0BA94DE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791E70A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b/>
          <w:bCs/>
          <w:sz w:val="22"/>
          <w:szCs w:val="22"/>
        </w:rPr>
        <w:t>F. </w:t>
      </w:r>
      <w:r w:rsidRPr="00EC4067">
        <w:rPr>
          <w:rFonts w:ascii="Calibri" w:hAnsi="Calibri" w:cs="Calibri"/>
          <w:sz w:val="22"/>
          <w:szCs w:val="22"/>
        </w:rPr>
        <w:t xml:space="preserve"> Zamawiający wymaga aby oferowane oprogramowanie biurowe było jednoznacznie zdefiniowane poprzez jego nazwę, wersję oraz numer katalogowy producenta. </w:t>
      </w:r>
    </w:p>
    <w:p w14:paraId="1FD5B448"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6471E560"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b/>
          <w:bCs/>
          <w:sz w:val="22"/>
          <w:szCs w:val="22"/>
        </w:rPr>
        <w:t xml:space="preserve">G. </w:t>
      </w:r>
      <w:r w:rsidRPr="00EC4067">
        <w:rPr>
          <w:rFonts w:ascii="Calibri" w:hAnsi="Calibri" w:cs="Calibri"/>
          <w:sz w:val="22"/>
          <w:szCs w:val="22"/>
        </w:rPr>
        <w:t>Zamawiający wymaga aby oprogramowanie systemowe było dostarczone wraz ze stosownymi, oryginalnymi atrybutami legalności, na przykład z tzw. naklejkami GML (Genuine Microsoft Label) lub naklejkami COA (certificate of Authenticity), stosowanymi przez producenta sprzętu lub inną formą uwiarygodnienia oryginalności wymaganą przez producenta oprogramowania stosowaną w zależności od dostarczanej wersji. </w:t>
      </w:r>
    </w:p>
    <w:p w14:paraId="00798F10"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5271FD9A"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b/>
          <w:bCs/>
          <w:sz w:val="22"/>
          <w:szCs w:val="22"/>
        </w:rPr>
        <w:t>H.</w:t>
      </w:r>
      <w:r w:rsidRPr="00EC4067">
        <w:rPr>
          <w:rFonts w:ascii="Calibri" w:hAnsi="Calibri" w:cs="Calibri"/>
          <w:sz w:val="22"/>
          <w:szCs w:val="22"/>
        </w:rPr>
        <w:t xml:space="preserve"> Zamawiający dopuszcza możliwość przeprowadzenia weryfikacji oryginalności dostarczonych programów komputerowych u producenta oprogramowania w przypadku wystąpienia wątpliwości co do jego legalności. </w:t>
      </w:r>
    </w:p>
    <w:p w14:paraId="7A1ADDE7"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73BFCDDE"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b/>
          <w:bCs/>
          <w:sz w:val="22"/>
          <w:szCs w:val="22"/>
        </w:rPr>
        <w:t xml:space="preserve">I. </w:t>
      </w:r>
      <w:r w:rsidRPr="00EC4067">
        <w:rPr>
          <w:rFonts w:ascii="Calibri" w:hAnsi="Calibri" w:cs="Calibri"/>
          <w:sz w:val="22"/>
          <w:szCs w:val="22"/>
        </w:rPr>
        <w:t>Zamawiający nie wymaga aby oprogramowanie systemowe oraz biurowe było fabrycznie zainstalowane przez producenta komputera. </w:t>
      </w:r>
    </w:p>
    <w:p w14:paraId="2049ADAB"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 </w:t>
      </w:r>
    </w:p>
    <w:p w14:paraId="459841E0" w14:textId="508DAD82"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b/>
          <w:bCs/>
          <w:sz w:val="22"/>
          <w:szCs w:val="22"/>
        </w:rPr>
        <w:t>J.</w:t>
      </w:r>
      <w:r w:rsidRPr="00EC4067">
        <w:rPr>
          <w:rFonts w:ascii="Calibri" w:hAnsi="Calibri" w:cs="Calibri"/>
          <w:sz w:val="22"/>
          <w:szCs w:val="22"/>
        </w:rPr>
        <w:t xml:space="preserve"> Wykonawca zapewnia, że na potwierdzenie stanu faktycznego, o którym mowa w pkt B posiada stosowne dokumenty, które zostaną niezwłocznie przekazane zamawiającemu, na jego pisemny wniosek.</w:t>
      </w:r>
      <w:r w:rsidRPr="00EC4067">
        <w:rPr>
          <w:rFonts w:ascii="Calibri" w:hAnsi="Calibri" w:cs="Calibri"/>
          <w:sz w:val="22"/>
          <w:szCs w:val="22"/>
        </w:rPr>
        <w:br/>
      </w:r>
      <w:r w:rsidRPr="00EC4067">
        <w:rPr>
          <w:rFonts w:ascii="Calibri" w:hAnsi="Calibri" w:cs="Calibri"/>
          <w:b/>
          <w:bCs/>
          <w:sz w:val="22"/>
          <w:szCs w:val="22"/>
        </w:rPr>
        <w:br/>
        <w:t>Wymogi środowiskowe / DNSH:</w:t>
      </w:r>
    </w:p>
    <w:p w14:paraId="7D241686"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1. Dostarczany sprzęt komputerowy (komputery stacjonarne, laptopy i monitory) musi być fabrycznie nowy, wolny od wad oraz wykonany zgodnie z wymaganiami:</w:t>
      </w:r>
    </w:p>
    <w:p w14:paraId="6C80FEF3"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a) dyrektywy 2011/65/UE (RoHS) oraz przepisów krajowych dotyczących ograniczenia stosowania niektórych niebezpiecznych substancji w sprzęcie elektrycznym i elektronicznym,</w:t>
      </w:r>
    </w:p>
    <w:p w14:paraId="2BC19C40" w14:textId="77777777" w:rsidR="00A92E1C" w:rsidRPr="00EC4067" w:rsidRDefault="009357C5" w:rsidP="00884326">
      <w:pPr>
        <w:spacing w:after="0" w:line="240" w:lineRule="auto"/>
        <w:jc w:val="both"/>
        <w:rPr>
          <w:rFonts w:ascii="Calibri" w:hAnsi="Calibri" w:cs="Calibri"/>
          <w:sz w:val="22"/>
          <w:szCs w:val="22"/>
        </w:rPr>
      </w:pPr>
      <w:r w:rsidRPr="00EC4067">
        <w:rPr>
          <w:rFonts w:ascii="Calibri" w:hAnsi="Calibri" w:cs="Calibri"/>
          <w:sz w:val="22"/>
          <w:szCs w:val="22"/>
        </w:rPr>
        <w:t>b) przepisów dotyczących zużytego sprzętu elektrycznego i elektronicznego (WEEE).</w:t>
      </w:r>
    </w:p>
    <w:p w14:paraId="3D941359" w14:textId="77777777" w:rsidR="00A92E1C" w:rsidRPr="00EC4067" w:rsidRDefault="00A92E1C">
      <w:pPr>
        <w:spacing w:after="0" w:line="240" w:lineRule="auto"/>
        <w:rPr>
          <w:rFonts w:ascii="Calibri" w:hAnsi="Calibri" w:cs="Calibri"/>
          <w:sz w:val="22"/>
          <w:szCs w:val="22"/>
        </w:rPr>
      </w:pPr>
    </w:p>
    <w:p w14:paraId="74B71DD6" w14:textId="77777777"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2. Sprzęt musi charakteryzować się otwartą architekturą umożliwiającą łatwą wymianę, modernizację i demontaż podstawowych komponentów (pamięć RAM, dysk, zasilacz itp.), co wspiera wydłużenie okresu eksploatacji oraz ponowne użycie podzespołów.</w:t>
      </w:r>
    </w:p>
    <w:p w14:paraId="4C630C6E" w14:textId="77777777" w:rsidR="00A92E1C" w:rsidRPr="00EC4067" w:rsidRDefault="00A92E1C">
      <w:pPr>
        <w:spacing w:after="0" w:line="240" w:lineRule="auto"/>
        <w:rPr>
          <w:rFonts w:ascii="Calibri" w:hAnsi="Calibri" w:cs="Calibri"/>
          <w:sz w:val="22"/>
          <w:szCs w:val="22"/>
        </w:rPr>
      </w:pPr>
    </w:p>
    <w:p w14:paraId="0EE0C236" w14:textId="77777777" w:rsidR="00A92E1C" w:rsidRPr="00EC4067" w:rsidRDefault="00A92E1C">
      <w:pPr>
        <w:spacing w:after="0" w:line="240" w:lineRule="auto"/>
        <w:rPr>
          <w:rFonts w:ascii="Calibri" w:hAnsi="Calibri" w:cs="Calibri"/>
          <w:sz w:val="22"/>
          <w:szCs w:val="22"/>
        </w:rPr>
      </w:pPr>
    </w:p>
    <w:tbl>
      <w:tblPr>
        <w:tblW w:w="8780" w:type="dxa"/>
        <w:tblInd w:w="-55" w:type="dxa"/>
        <w:tblLayout w:type="fixed"/>
        <w:tblCellMar>
          <w:left w:w="45" w:type="dxa"/>
          <w:right w:w="70" w:type="dxa"/>
        </w:tblCellMar>
        <w:tblLook w:val="04A0" w:firstRow="1" w:lastRow="0" w:firstColumn="1" w:lastColumn="0" w:noHBand="0" w:noVBand="1"/>
      </w:tblPr>
      <w:tblGrid>
        <w:gridCol w:w="792"/>
        <w:gridCol w:w="1335"/>
        <w:gridCol w:w="566"/>
        <w:gridCol w:w="1417"/>
        <w:gridCol w:w="991"/>
        <w:gridCol w:w="993"/>
        <w:gridCol w:w="1416"/>
        <w:gridCol w:w="1270"/>
      </w:tblGrid>
      <w:tr w:rsidR="00A92E1C" w:rsidRPr="00EC4067" w14:paraId="2AFDC9E4" w14:textId="77777777">
        <w:trPr>
          <w:cantSplit/>
          <w:trHeight w:val="591"/>
        </w:trPr>
        <w:tc>
          <w:tcPr>
            <w:tcW w:w="792" w:type="dxa"/>
            <w:vMerge w:val="restart"/>
            <w:tcBorders>
              <w:top w:val="single" w:sz="4" w:space="0" w:color="000001"/>
              <w:left w:val="single" w:sz="4" w:space="0" w:color="000001"/>
            </w:tcBorders>
            <w:vAlign w:val="center"/>
          </w:tcPr>
          <w:p w14:paraId="5F875AD2"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Poz. zamów</w:t>
            </w:r>
          </w:p>
        </w:tc>
        <w:tc>
          <w:tcPr>
            <w:tcW w:w="1335" w:type="dxa"/>
            <w:vMerge w:val="restart"/>
            <w:tcBorders>
              <w:top w:val="single" w:sz="4" w:space="0" w:color="000001"/>
              <w:left w:val="single" w:sz="4" w:space="0" w:color="000001"/>
              <w:bottom w:val="single" w:sz="4" w:space="0" w:color="000001"/>
            </w:tcBorders>
            <w:vAlign w:val="center"/>
          </w:tcPr>
          <w:p w14:paraId="66B415E2"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Przedmiot zamówienia</w:t>
            </w:r>
          </w:p>
        </w:tc>
        <w:tc>
          <w:tcPr>
            <w:tcW w:w="566" w:type="dxa"/>
            <w:tcBorders>
              <w:top w:val="single" w:sz="4" w:space="0" w:color="000001"/>
              <w:left w:val="single" w:sz="4" w:space="0" w:color="000001"/>
              <w:bottom w:val="single" w:sz="4" w:space="0" w:color="000001"/>
            </w:tcBorders>
            <w:vAlign w:val="center"/>
          </w:tcPr>
          <w:p w14:paraId="25B87903"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Ilość</w:t>
            </w:r>
          </w:p>
        </w:tc>
        <w:tc>
          <w:tcPr>
            <w:tcW w:w="1417" w:type="dxa"/>
            <w:tcBorders>
              <w:top w:val="single" w:sz="4" w:space="0" w:color="000001"/>
              <w:left w:val="single" w:sz="4" w:space="0" w:color="000001"/>
              <w:bottom w:val="single" w:sz="4" w:space="0" w:color="000001"/>
            </w:tcBorders>
            <w:vAlign w:val="center"/>
          </w:tcPr>
          <w:p w14:paraId="31072FDF"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Cena jednostkowa netto</w:t>
            </w:r>
          </w:p>
        </w:tc>
        <w:tc>
          <w:tcPr>
            <w:tcW w:w="991" w:type="dxa"/>
            <w:tcBorders>
              <w:top w:val="single" w:sz="4" w:space="0" w:color="000001"/>
              <w:left w:val="single" w:sz="4" w:space="0" w:color="000001"/>
              <w:bottom w:val="single" w:sz="4" w:space="0" w:color="000001"/>
            </w:tcBorders>
            <w:vAlign w:val="center"/>
          </w:tcPr>
          <w:p w14:paraId="7BC4584C"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Wartość netto (5=3x4)</w:t>
            </w:r>
          </w:p>
        </w:tc>
        <w:tc>
          <w:tcPr>
            <w:tcW w:w="993" w:type="dxa"/>
            <w:tcBorders>
              <w:top w:val="single" w:sz="4" w:space="0" w:color="000001"/>
              <w:left w:val="single" w:sz="4" w:space="0" w:color="000001"/>
              <w:bottom w:val="single" w:sz="4" w:space="0" w:color="000001"/>
            </w:tcBorders>
            <w:vAlign w:val="center"/>
          </w:tcPr>
          <w:p w14:paraId="367C5718"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Stawka podatku vat</w:t>
            </w:r>
          </w:p>
        </w:tc>
        <w:tc>
          <w:tcPr>
            <w:tcW w:w="1416" w:type="dxa"/>
            <w:tcBorders>
              <w:top w:val="single" w:sz="4" w:space="0" w:color="000001"/>
              <w:left w:val="single" w:sz="4" w:space="0" w:color="000001"/>
              <w:bottom w:val="single" w:sz="4" w:space="0" w:color="000001"/>
            </w:tcBorders>
            <w:vAlign w:val="center"/>
          </w:tcPr>
          <w:p w14:paraId="5B25F461"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Cena jednostkowa brutto</w:t>
            </w:r>
          </w:p>
        </w:tc>
        <w:tc>
          <w:tcPr>
            <w:tcW w:w="1270" w:type="dxa"/>
            <w:tcBorders>
              <w:top w:val="single" w:sz="4" w:space="0" w:color="000001"/>
              <w:left w:val="single" w:sz="4" w:space="0" w:color="000001"/>
              <w:bottom w:val="single" w:sz="4" w:space="0" w:color="000001"/>
              <w:right w:val="single" w:sz="4" w:space="0" w:color="000001"/>
            </w:tcBorders>
            <w:vAlign w:val="center"/>
          </w:tcPr>
          <w:p w14:paraId="5A1D2413"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Wartość brutto (8=3x7)</w:t>
            </w:r>
          </w:p>
        </w:tc>
      </w:tr>
      <w:tr w:rsidR="00A92E1C" w:rsidRPr="00EC4067" w14:paraId="22C2BB6B" w14:textId="77777777">
        <w:trPr>
          <w:cantSplit/>
          <w:trHeight w:val="369"/>
        </w:trPr>
        <w:tc>
          <w:tcPr>
            <w:tcW w:w="792" w:type="dxa"/>
            <w:vMerge/>
            <w:tcBorders>
              <w:top w:val="single" w:sz="4" w:space="0" w:color="000001"/>
              <w:left w:val="single" w:sz="4" w:space="0" w:color="000001"/>
            </w:tcBorders>
            <w:vAlign w:val="center"/>
          </w:tcPr>
          <w:p w14:paraId="6536F343" w14:textId="77777777" w:rsidR="00A92E1C" w:rsidRPr="00EC4067" w:rsidRDefault="00A92E1C">
            <w:pPr>
              <w:rPr>
                <w:rFonts w:ascii="Calibri" w:hAnsi="Calibri" w:cs="Calibri"/>
                <w:sz w:val="22"/>
                <w:szCs w:val="22"/>
              </w:rPr>
            </w:pPr>
          </w:p>
        </w:tc>
        <w:tc>
          <w:tcPr>
            <w:tcW w:w="1335" w:type="dxa"/>
            <w:vMerge/>
            <w:tcBorders>
              <w:top w:val="single" w:sz="4" w:space="0" w:color="000001"/>
              <w:left w:val="single" w:sz="4" w:space="0" w:color="000001"/>
              <w:bottom w:val="single" w:sz="4" w:space="0" w:color="000001"/>
            </w:tcBorders>
            <w:vAlign w:val="center"/>
          </w:tcPr>
          <w:p w14:paraId="081F3D77" w14:textId="77777777" w:rsidR="00A92E1C" w:rsidRPr="00EC4067" w:rsidRDefault="00A92E1C">
            <w:pPr>
              <w:rPr>
                <w:rFonts w:ascii="Calibri" w:hAnsi="Calibri" w:cs="Calibri"/>
                <w:sz w:val="22"/>
                <w:szCs w:val="22"/>
              </w:rPr>
            </w:pPr>
          </w:p>
        </w:tc>
        <w:tc>
          <w:tcPr>
            <w:tcW w:w="566" w:type="dxa"/>
            <w:tcBorders>
              <w:top w:val="single" w:sz="4" w:space="0" w:color="000001"/>
              <w:left w:val="single" w:sz="4" w:space="0" w:color="000001"/>
              <w:bottom w:val="single" w:sz="4" w:space="0" w:color="000001"/>
            </w:tcBorders>
            <w:vAlign w:val="center"/>
          </w:tcPr>
          <w:p w14:paraId="3185B5D4"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szt.</w:t>
            </w:r>
          </w:p>
        </w:tc>
        <w:tc>
          <w:tcPr>
            <w:tcW w:w="1417" w:type="dxa"/>
            <w:tcBorders>
              <w:top w:val="single" w:sz="4" w:space="0" w:color="000001"/>
              <w:left w:val="single" w:sz="4" w:space="0" w:color="000001"/>
              <w:bottom w:val="single" w:sz="4" w:space="0" w:color="000001"/>
            </w:tcBorders>
            <w:vAlign w:val="center"/>
          </w:tcPr>
          <w:p w14:paraId="719D574F"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zł</w:t>
            </w:r>
          </w:p>
        </w:tc>
        <w:tc>
          <w:tcPr>
            <w:tcW w:w="991" w:type="dxa"/>
            <w:tcBorders>
              <w:top w:val="single" w:sz="4" w:space="0" w:color="000001"/>
              <w:left w:val="single" w:sz="4" w:space="0" w:color="000001"/>
              <w:bottom w:val="single" w:sz="4" w:space="0" w:color="000001"/>
            </w:tcBorders>
            <w:vAlign w:val="center"/>
          </w:tcPr>
          <w:p w14:paraId="3C2B74F9"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zł</w:t>
            </w:r>
          </w:p>
        </w:tc>
        <w:tc>
          <w:tcPr>
            <w:tcW w:w="993" w:type="dxa"/>
            <w:tcBorders>
              <w:top w:val="single" w:sz="4" w:space="0" w:color="000001"/>
              <w:left w:val="single" w:sz="4" w:space="0" w:color="000001"/>
              <w:bottom w:val="single" w:sz="4" w:space="0" w:color="000001"/>
            </w:tcBorders>
            <w:vAlign w:val="center"/>
          </w:tcPr>
          <w:p w14:paraId="6A335749"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w:t>
            </w:r>
          </w:p>
        </w:tc>
        <w:tc>
          <w:tcPr>
            <w:tcW w:w="1416" w:type="dxa"/>
            <w:tcBorders>
              <w:top w:val="single" w:sz="4" w:space="0" w:color="000001"/>
              <w:left w:val="single" w:sz="4" w:space="0" w:color="000001"/>
              <w:bottom w:val="single" w:sz="4" w:space="0" w:color="000001"/>
            </w:tcBorders>
            <w:vAlign w:val="center"/>
          </w:tcPr>
          <w:p w14:paraId="4EA87BC3"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zł</w:t>
            </w:r>
          </w:p>
        </w:tc>
        <w:tc>
          <w:tcPr>
            <w:tcW w:w="1270" w:type="dxa"/>
            <w:tcBorders>
              <w:top w:val="single" w:sz="4" w:space="0" w:color="000001"/>
              <w:left w:val="single" w:sz="4" w:space="0" w:color="000001"/>
              <w:bottom w:val="single" w:sz="4" w:space="0" w:color="000001"/>
              <w:right w:val="single" w:sz="4" w:space="0" w:color="000001"/>
            </w:tcBorders>
            <w:vAlign w:val="center"/>
          </w:tcPr>
          <w:p w14:paraId="30A0C56D"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zł</w:t>
            </w:r>
          </w:p>
        </w:tc>
      </w:tr>
      <w:tr w:rsidR="00A92E1C" w:rsidRPr="00EC4067" w14:paraId="6FC24782" w14:textId="77777777">
        <w:trPr>
          <w:cantSplit/>
          <w:trHeight w:val="155"/>
        </w:trPr>
        <w:tc>
          <w:tcPr>
            <w:tcW w:w="792" w:type="dxa"/>
            <w:tcBorders>
              <w:top w:val="single" w:sz="4" w:space="0" w:color="000001"/>
              <w:left w:val="single" w:sz="4" w:space="0" w:color="000001"/>
              <w:bottom w:val="single" w:sz="4" w:space="0" w:color="000001"/>
            </w:tcBorders>
            <w:vAlign w:val="center"/>
          </w:tcPr>
          <w:p w14:paraId="239CC307"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b/>
                <w:bCs/>
                <w:color w:val="000000"/>
                <w:sz w:val="22"/>
                <w:szCs w:val="22"/>
              </w:rPr>
              <w:t>1</w:t>
            </w:r>
          </w:p>
        </w:tc>
        <w:tc>
          <w:tcPr>
            <w:tcW w:w="1335" w:type="dxa"/>
            <w:tcBorders>
              <w:top w:val="single" w:sz="4" w:space="0" w:color="000001"/>
              <w:left w:val="single" w:sz="4" w:space="0" w:color="000001"/>
              <w:bottom w:val="single" w:sz="4" w:space="0" w:color="000001"/>
            </w:tcBorders>
            <w:vAlign w:val="center"/>
          </w:tcPr>
          <w:p w14:paraId="4FF29E23"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b/>
                <w:bCs/>
                <w:color w:val="000000"/>
                <w:sz w:val="22"/>
                <w:szCs w:val="22"/>
              </w:rPr>
              <w:t>2</w:t>
            </w:r>
          </w:p>
        </w:tc>
        <w:tc>
          <w:tcPr>
            <w:tcW w:w="566" w:type="dxa"/>
            <w:tcBorders>
              <w:top w:val="single" w:sz="4" w:space="0" w:color="000001"/>
              <w:left w:val="single" w:sz="4" w:space="0" w:color="000001"/>
              <w:bottom w:val="single" w:sz="4" w:space="0" w:color="000001"/>
            </w:tcBorders>
            <w:vAlign w:val="center"/>
          </w:tcPr>
          <w:p w14:paraId="29A98034"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b/>
                <w:bCs/>
                <w:color w:val="000000"/>
                <w:sz w:val="22"/>
                <w:szCs w:val="22"/>
              </w:rPr>
              <w:t>3</w:t>
            </w:r>
          </w:p>
        </w:tc>
        <w:tc>
          <w:tcPr>
            <w:tcW w:w="1417" w:type="dxa"/>
            <w:tcBorders>
              <w:top w:val="single" w:sz="4" w:space="0" w:color="000001"/>
              <w:left w:val="single" w:sz="4" w:space="0" w:color="000001"/>
              <w:bottom w:val="single" w:sz="4" w:space="0" w:color="000001"/>
            </w:tcBorders>
            <w:vAlign w:val="center"/>
          </w:tcPr>
          <w:p w14:paraId="66A81C69"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b/>
                <w:bCs/>
                <w:color w:val="000000"/>
                <w:sz w:val="22"/>
                <w:szCs w:val="22"/>
              </w:rPr>
              <w:t>4</w:t>
            </w:r>
          </w:p>
        </w:tc>
        <w:tc>
          <w:tcPr>
            <w:tcW w:w="991" w:type="dxa"/>
            <w:tcBorders>
              <w:top w:val="single" w:sz="4" w:space="0" w:color="000001"/>
              <w:left w:val="single" w:sz="4" w:space="0" w:color="000001"/>
              <w:bottom w:val="single" w:sz="4" w:space="0" w:color="000001"/>
            </w:tcBorders>
            <w:vAlign w:val="center"/>
          </w:tcPr>
          <w:p w14:paraId="5A56D9F6"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b/>
                <w:bCs/>
                <w:color w:val="000000"/>
                <w:sz w:val="22"/>
                <w:szCs w:val="22"/>
              </w:rPr>
              <w:t>5</w:t>
            </w:r>
          </w:p>
        </w:tc>
        <w:tc>
          <w:tcPr>
            <w:tcW w:w="993" w:type="dxa"/>
            <w:tcBorders>
              <w:top w:val="single" w:sz="4" w:space="0" w:color="000001"/>
              <w:left w:val="single" w:sz="4" w:space="0" w:color="000001"/>
              <w:bottom w:val="single" w:sz="4" w:space="0" w:color="000001"/>
            </w:tcBorders>
            <w:vAlign w:val="center"/>
          </w:tcPr>
          <w:p w14:paraId="50F488D5"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b/>
                <w:bCs/>
                <w:color w:val="000000"/>
                <w:sz w:val="22"/>
                <w:szCs w:val="22"/>
              </w:rPr>
              <w:t>6</w:t>
            </w:r>
          </w:p>
        </w:tc>
        <w:tc>
          <w:tcPr>
            <w:tcW w:w="1416" w:type="dxa"/>
            <w:tcBorders>
              <w:top w:val="single" w:sz="4" w:space="0" w:color="000001"/>
              <w:left w:val="single" w:sz="4" w:space="0" w:color="000001"/>
              <w:bottom w:val="single" w:sz="4" w:space="0" w:color="000001"/>
            </w:tcBorders>
            <w:vAlign w:val="center"/>
          </w:tcPr>
          <w:p w14:paraId="503244BF"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b/>
                <w:bCs/>
                <w:color w:val="000000"/>
                <w:sz w:val="22"/>
                <w:szCs w:val="22"/>
              </w:rPr>
              <w:t>7</w:t>
            </w:r>
          </w:p>
        </w:tc>
        <w:tc>
          <w:tcPr>
            <w:tcW w:w="1270" w:type="dxa"/>
            <w:tcBorders>
              <w:top w:val="single" w:sz="4" w:space="0" w:color="000001"/>
              <w:left w:val="single" w:sz="4" w:space="0" w:color="000001"/>
              <w:bottom w:val="single" w:sz="4" w:space="0" w:color="000001"/>
              <w:right w:val="single" w:sz="4" w:space="0" w:color="000001"/>
            </w:tcBorders>
            <w:vAlign w:val="center"/>
          </w:tcPr>
          <w:p w14:paraId="33842669"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b/>
                <w:bCs/>
                <w:color w:val="000000"/>
                <w:sz w:val="22"/>
                <w:szCs w:val="22"/>
              </w:rPr>
              <w:t>8</w:t>
            </w:r>
          </w:p>
        </w:tc>
      </w:tr>
      <w:tr w:rsidR="00A92E1C" w:rsidRPr="00EC4067" w14:paraId="3091AEC5" w14:textId="77777777">
        <w:trPr>
          <w:trHeight w:val="555"/>
        </w:trPr>
        <w:tc>
          <w:tcPr>
            <w:tcW w:w="792" w:type="dxa"/>
            <w:tcBorders>
              <w:top w:val="single" w:sz="4" w:space="0" w:color="000001"/>
              <w:left w:val="single" w:sz="4" w:space="0" w:color="000001"/>
              <w:bottom w:val="single" w:sz="4" w:space="0" w:color="000001"/>
            </w:tcBorders>
            <w:vAlign w:val="center"/>
          </w:tcPr>
          <w:p w14:paraId="0B3E3D5E" w14:textId="77777777" w:rsidR="00A92E1C" w:rsidRPr="00EC4067" w:rsidRDefault="009357C5">
            <w:pPr>
              <w:spacing w:after="0" w:line="240" w:lineRule="auto"/>
              <w:ind w:left="-10" w:firstLine="10"/>
              <w:jc w:val="center"/>
              <w:rPr>
                <w:rFonts w:ascii="Calibri" w:hAnsi="Calibri" w:cs="Calibri"/>
                <w:sz w:val="22"/>
                <w:szCs w:val="22"/>
              </w:rPr>
            </w:pPr>
            <w:r w:rsidRPr="00EC4067">
              <w:rPr>
                <w:rFonts w:ascii="Calibri" w:hAnsi="Calibri" w:cs="Calibri"/>
                <w:b/>
                <w:color w:val="000000"/>
                <w:sz w:val="22"/>
                <w:szCs w:val="22"/>
              </w:rPr>
              <w:t>a)</w:t>
            </w:r>
          </w:p>
        </w:tc>
        <w:tc>
          <w:tcPr>
            <w:tcW w:w="1335" w:type="dxa"/>
            <w:tcBorders>
              <w:top w:val="single" w:sz="4" w:space="0" w:color="000001"/>
              <w:left w:val="single" w:sz="4" w:space="0" w:color="000001"/>
              <w:bottom w:val="single" w:sz="4" w:space="0" w:color="000001"/>
            </w:tcBorders>
            <w:vAlign w:val="center"/>
          </w:tcPr>
          <w:p w14:paraId="6DC4EB6E" w14:textId="77777777" w:rsidR="00A92E1C" w:rsidRPr="00EC4067" w:rsidRDefault="009357C5">
            <w:pPr>
              <w:pStyle w:val="Tekstpodstawowy"/>
              <w:tabs>
                <w:tab w:val="left" w:pos="2348"/>
                <w:tab w:val="left" w:pos="3765"/>
              </w:tabs>
              <w:ind w:right="-228"/>
              <w:jc w:val="left"/>
              <w:rPr>
                <w:rFonts w:cs="Calibri"/>
                <w:sz w:val="22"/>
              </w:rPr>
            </w:pPr>
            <w:r w:rsidRPr="00EC4067">
              <w:rPr>
                <w:rFonts w:cs="Calibri"/>
                <w:color w:val="000000"/>
                <w:sz w:val="22"/>
              </w:rPr>
              <w:t>Zestaw komputerowy</w:t>
            </w:r>
          </w:p>
          <w:p w14:paraId="3688C237" w14:textId="77777777" w:rsidR="00A92E1C" w:rsidRPr="00EC4067" w:rsidRDefault="009357C5">
            <w:pPr>
              <w:pStyle w:val="Tekstpodstawowy"/>
              <w:tabs>
                <w:tab w:val="left" w:pos="2348"/>
                <w:tab w:val="left" w:pos="3765"/>
              </w:tabs>
              <w:ind w:right="-228"/>
              <w:jc w:val="left"/>
              <w:rPr>
                <w:rFonts w:cs="Calibri"/>
                <w:sz w:val="22"/>
              </w:rPr>
            </w:pPr>
            <w:r w:rsidRPr="00EC4067">
              <w:rPr>
                <w:rFonts w:cs="Calibri"/>
                <w:color w:val="000000"/>
                <w:sz w:val="22"/>
              </w:rPr>
              <w:t>typ I</w:t>
            </w:r>
          </w:p>
        </w:tc>
        <w:tc>
          <w:tcPr>
            <w:tcW w:w="566" w:type="dxa"/>
            <w:tcBorders>
              <w:top w:val="single" w:sz="4" w:space="0" w:color="000001"/>
              <w:left w:val="single" w:sz="4" w:space="0" w:color="000001"/>
              <w:bottom w:val="single" w:sz="4" w:space="0" w:color="000001"/>
            </w:tcBorders>
            <w:vAlign w:val="center"/>
          </w:tcPr>
          <w:p w14:paraId="378F7725"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10</w:t>
            </w:r>
          </w:p>
        </w:tc>
        <w:tc>
          <w:tcPr>
            <w:tcW w:w="1417" w:type="dxa"/>
            <w:tcBorders>
              <w:top w:val="single" w:sz="4" w:space="0" w:color="000001"/>
              <w:left w:val="single" w:sz="4" w:space="0" w:color="000001"/>
              <w:bottom w:val="single" w:sz="4" w:space="0" w:color="000001"/>
            </w:tcBorders>
            <w:vAlign w:val="center"/>
          </w:tcPr>
          <w:p w14:paraId="15DAA501" w14:textId="77777777" w:rsidR="00A92E1C" w:rsidRPr="00EC4067" w:rsidRDefault="00A92E1C">
            <w:pPr>
              <w:spacing w:after="0" w:line="240" w:lineRule="auto"/>
              <w:jc w:val="center"/>
              <w:rPr>
                <w:rFonts w:ascii="Calibri" w:hAnsi="Calibri" w:cs="Calibri"/>
                <w:color w:val="000000"/>
                <w:sz w:val="22"/>
                <w:szCs w:val="22"/>
              </w:rPr>
            </w:pPr>
          </w:p>
        </w:tc>
        <w:tc>
          <w:tcPr>
            <w:tcW w:w="991" w:type="dxa"/>
            <w:tcBorders>
              <w:top w:val="single" w:sz="4" w:space="0" w:color="000001"/>
              <w:left w:val="single" w:sz="4" w:space="0" w:color="000001"/>
              <w:bottom w:val="single" w:sz="4" w:space="0" w:color="00000A"/>
            </w:tcBorders>
            <w:vAlign w:val="center"/>
          </w:tcPr>
          <w:p w14:paraId="7FF8D3AD" w14:textId="77777777" w:rsidR="00A92E1C" w:rsidRPr="00EC4067" w:rsidRDefault="00A92E1C">
            <w:pPr>
              <w:spacing w:after="0" w:line="240" w:lineRule="auto"/>
              <w:jc w:val="center"/>
              <w:rPr>
                <w:rFonts w:ascii="Calibri" w:hAnsi="Calibri" w:cs="Calibri"/>
                <w:color w:val="000000"/>
                <w:sz w:val="22"/>
                <w:szCs w:val="22"/>
              </w:rPr>
            </w:pPr>
          </w:p>
        </w:tc>
        <w:tc>
          <w:tcPr>
            <w:tcW w:w="993" w:type="dxa"/>
            <w:tcBorders>
              <w:top w:val="single" w:sz="4" w:space="0" w:color="000001"/>
              <w:left w:val="single" w:sz="4" w:space="0" w:color="000001"/>
              <w:bottom w:val="single" w:sz="4" w:space="0" w:color="00000A"/>
            </w:tcBorders>
            <w:vAlign w:val="center"/>
          </w:tcPr>
          <w:p w14:paraId="07DD9C85" w14:textId="77777777" w:rsidR="00A92E1C" w:rsidRPr="00EC4067" w:rsidRDefault="00A92E1C">
            <w:pPr>
              <w:spacing w:after="0" w:line="240" w:lineRule="auto"/>
              <w:jc w:val="center"/>
              <w:rPr>
                <w:rFonts w:ascii="Calibri" w:hAnsi="Calibri" w:cs="Calibri"/>
                <w:color w:val="000000"/>
                <w:sz w:val="22"/>
                <w:szCs w:val="22"/>
              </w:rPr>
            </w:pPr>
          </w:p>
        </w:tc>
        <w:tc>
          <w:tcPr>
            <w:tcW w:w="1416" w:type="dxa"/>
            <w:tcBorders>
              <w:top w:val="single" w:sz="4" w:space="0" w:color="000001"/>
              <w:left w:val="single" w:sz="4" w:space="0" w:color="000001"/>
              <w:bottom w:val="single" w:sz="4" w:space="0" w:color="000001"/>
            </w:tcBorders>
            <w:vAlign w:val="center"/>
          </w:tcPr>
          <w:p w14:paraId="5BCA59C8" w14:textId="77777777" w:rsidR="00A92E1C" w:rsidRPr="00EC4067" w:rsidRDefault="00A92E1C">
            <w:pPr>
              <w:spacing w:after="0" w:line="240" w:lineRule="auto"/>
              <w:jc w:val="center"/>
              <w:rPr>
                <w:rFonts w:ascii="Calibri" w:hAnsi="Calibri" w:cs="Calibri"/>
                <w:color w:val="000000"/>
                <w:sz w:val="22"/>
                <w:szCs w:val="22"/>
              </w:rPr>
            </w:pPr>
          </w:p>
        </w:tc>
        <w:tc>
          <w:tcPr>
            <w:tcW w:w="1270" w:type="dxa"/>
            <w:tcBorders>
              <w:top w:val="single" w:sz="4" w:space="0" w:color="000001"/>
              <w:left w:val="single" w:sz="4" w:space="0" w:color="000001"/>
              <w:bottom w:val="single" w:sz="4" w:space="0" w:color="000001"/>
              <w:right w:val="single" w:sz="4" w:space="0" w:color="000001"/>
            </w:tcBorders>
            <w:vAlign w:val="center"/>
          </w:tcPr>
          <w:p w14:paraId="7CE321B9" w14:textId="77777777" w:rsidR="00A92E1C" w:rsidRPr="00EC4067" w:rsidRDefault="00A92E1C">
            <w:pPr>
              <w:spacing w:after="0" w:line="240" w:lineRule="auto"/>
              <w:jc w:val="center"/>
              <w:rPr>
                <w:rFonts w:ascii="Calibri" w:hAnsi="Calibri" w:cs="Calibri"/>
                <w:color w:val="000000"/>
                <w:sz w:val="22"/>
                <w:szCs w:val="22"/>
              </w:rPr>
            </w:pPr>
          </w:p>
        </w:tc>
      </w:tr>
      <w:tr w:rsidR="00A92E1C" w:rsidRPr="00EC4067" w14:paraId="4ABA36D1" w14:textId="77777777">
        <w:trPr>
          <w:trHeight w:val="555"/>
        </w:trPr>
        <w:tc>
          <w:tcPr>
            <w:tcW w:w="792" w:type="dxa"/>
            <w:tcBorders>
              <w:top w:val="single" w:sz="4" w:space="0" w:color="000001"/>
              <w:left w:val="single" w:sz="4" w:space="0" w:color="000001"/>
              <w:bottom w:val="single" w:sz="4" w:space="0" w:color="00000A"/>
            </w:tcBorders>
            <w:vAlign w:val="center"/>
          </w:tcPr>
          <w:p w14:paraId="5FEA7915" w14:textId="77777777" w:rsidR="00A92E1C" w:rsidRPr="00EC4067" w:rsidRDefault="009357C5">
            <w:pPr>
              <w:spacing w:after="0" w:line="240" w:lineRule="auto"/>
              <w:ind w:left="-10" w:firstLine="10"/>
              <w:jc w:val="center"/>
              <w:rPr>
                <w:rFonts w:ascii="Calibri" w:hAnsi="Calibri" w:cs="Calibri"/>
                <w:sz w:val="22"/>
                <w:szCs w:val="22"/>
              </w:rPr>
            </w:pPr>
            <w:r w:rsidRPr="00EC4067">
              <w:rPr>
                <w:rFonts w:ascii="Calibri" w:hAnsi="Calibri" w:cs="Calibri"/>
                <w:b/>
                <w:color w:val="000000"/>
                <w:sz w:val="22"/>
                <w:szCs w:val="22"/>
              </w:rPr>
              <w:t>b)</w:t>
            </w:r>
          </w:p>
        </w:tc>
        <w:tc>
          <w:tcPr>
            <w:tcW w:w="1335" w:type="dxa"/>
            <w:tcBorders>
              <w:top w:val="single" w:sz="4" w:space="0" w:color="000001"/>
              <w:left w:val="single" w:sz="4" w:space="0" w:color="000001"/>
              <w:bottom w:val="single" w:sz="4" w:space="0" w:color="00000A"/>
            </w:tcBorders>
            <w:vAlign w:val="center"/>
          </w:tcPr>
          <w:p w14:paraId="4133F957" w14:textId="77777777" w:rsidR="00A92E1C" w:rsidRPr="00EC4067" w:rsidRDefault="009357C5">
            <w:pPr>
              <w:pStyle w:val="Tekstpodstawowy"/>
              <w:tabs>
                <w:tab w:val="left" w:pos="2348"/>
                <w:tab w:val="left" w:pos="3765"/>
              </w:tabs>
              <w:ind w:right="-228"/>
              <w:jc w:val="left"/>
              <w:rPr>
                <w:rFonts w:cs="Calibri"/>
                <w:sz w:val="22"/>
              </w:rPr>
            </w:pPr>
            <w:r w:rsidRPr="00EC4067">
              <w:rPr>
                <w:rFonts w:cs="Calibri"/>
                <w:color w:val="000000"/>
                <w:sz w:val="22"/>
              </w:rPr>
              <w:t>Zestaw komputerowy</w:t>
            </w:r>
          </w:p>
          <w:p w14:paraId="01F148DD" w14:textId="77777777" w:rsidR="00A92E1C" w:rsidRPr="00EC4067" w:rsidRDefault="009357C5">
            <w:pPr>
              <w:pStyle w:val="Tekstpodstawowy"/>
              <w:tabs>
                <w:tab w:val="left" w:pos="2348"/>
                <w:tab w:val="left" w:pos="3765"/>
              </w:tabs>
              <w:ind w:right="-228"/>
              <w:jc w:val="left"/>
              <w:rPr>
                <w:rFonts w:cs="Calibri"/>
                <w:sz w:val="22"/>
              </w:rPr>
            </w:pPr>
            <w:r w:rsidRPr="00EC4067">
              <w:rPr>
                <w:rFonts w:cs="Calibri"/>
                <w:color w:val="000000"/>
                <w:sz w:val="22"/>
              </w:rPr>
              <w:t>typ II</w:t>
            </w:r>
          </w:p>
        </w:tc>
        <w:tc>
          <w:tcPr>
            <w:tcW w:w="566" w:type="dxa"/>
            <w:tcBorders>
              <w:top w:val="single" w:sz="4" w:space="0" w:color="000001"/>
              <w:left w:val="single" w:sz="4" w:space="0" w:color="000001"/>
              <w:bottom w:val="single" w:sz="4" w:space="0" w:color="00000A"/>
            </w:tcBorders>
            <w:vAlign w:val="center"/>
          </w:tcPr>
          <w:p w14:paraId="2084F9FD"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color w:val="000000"/>
                <w:sz w:val="22"/>
                <w:szCs w:val="22"/>
              </w:rPr>
              <w:t>6</w:t>
            </w:r>
          </w:p>
        </w:tc>
        <w:tc>
          <w:tcPr>
            <w:tcW w:w="1417" w:type="dxa"/>
            <w:tcBorders>
              <w:top w:val="single" w:sz="4" w:space="0" w:color="000001"/>
              <w:left w:val="single" w:sz="4" w:space="0" w:color="000001"/>
              <w:bottom w:val="single" w:sz="4" w:space="0" w:color="00000A"/>
              <w:right w:val="single" w:sz="4" w:space="0" w:color="00000A"/>
            </w:tcBorders>
            <w:vAlign w:val="center"/>
          </w:tcPr>
          <w:p w14:paraId="28771F21" w14:textId="77777777" w:rsidR="00A92E1C" w:rsidRPr="00EC4067" w:rsidRDefault="00A92E1C">
            <w:pPr>
              <w:spacing w:after="0" w:line="240" w:lineRule="auto"/>
              <w:jc w:val="center"/>
              <w:rPr>
                <w:rFonts w:ascii="Calibri" w:hAnsi="Calibri" w:cs="Calibri"/>
                <w:color w:val="000000"/>
                <w:sz w:val="22"/>
                <w:szCs w:val="22"/>
              </w:rPr>
            </w:pPr>
          </w:p>
        </w:tc>
        <w:tc>
          <w:tcPr>
            <w:tcW w:w="991" w:type="dxa"/>
            <w:tcBorders>
              <w:top w:val="single" w:sz="4" w:space="0" w:color="00000A"/>
              <w:left w:val="single" w:sz="4" w:space="0" w:color="00000A"/>
              <w:bottom w:val="single" w:sz="4" w:space="0" w:color="00000A"/>
              <w:right w:val="single" w:sz="4" w:space="0" w:color="00000A"/>
            </w:tcBorders>
            <w:vAlign w:val="center"/>
          </w:tcPr>
          <w:p w14:paraId="7CF1F2A7" w14:textId="77777777" w:rsidR="00A92E1C" w:rsidRPr="00EC4067" w:rsidRDefault="00A92E1C">
            <w:pPr>
              <w:spacing w:after="0" w:line="240" w:lineRule="auto"/>
              <w:jc w:val="center"/>
              <w:rPr>
                <w:rFonts w:ascii="Calibri" w:hAnsi="Calibri" w:cs="Calibri"/>
                <w:color w:val="000000"/>
                <w:sz w:val="22"/>
                <w:szCs w:val="22"/>
              </w:rPr>
            </w:pPr>
          </w:p>
        </w:tc>
        <w:tc>
          <w:tcPr>
            <w:tcW w:w="993" w:type="dxa"/>
            <w:tcBorders>
              <w:top w:val="single" w:sz="4" w:space="0" w:color="00000A"/>
              <w:left w:val="single" w:sz="4" w:space="0" w:color="00000A"/>
              <w:bottom w:val="single" w:sz="4" w:space="0" w:color="00000A"/>
              <w:right w:val="single" w:sz="4" w:space="0" w:color="00000A"/>
            </w:tcBorders>
            <w:vAlign w:val="center"/>
          </w:tcPr>
          <w:p w14:paraId="68F6DD50" w14:textId="77777777" w:rsidR="00A92E1C" w:rsidRPr="00EC4067" w:rsidRDefault="00A92E1C">
            <w:pPr>
              <w:spacing w:after="0" w:line="240" w:lineRule="auto"/>
              <w:jc w:val="center"/>
              <w:rPr>
                <w:rFonts w:ascii="Calibri" w:hAnsi="Calibri" w:cs="Calibri"/>
                <w:color w:val="000000"/>
                <w:sz w:val="22"/>
                <w:szCs w:val="22"/>
              </w:rPr>
            </w:pPr>
          </w:p>
        </w:tc>
        <w:tc>
          <w:tcPr>
            <w:tcW w:w="1416" w:type="dxa"/>
            <w:tcBorders>
              <w:top w:val="single" w:sz="4" w:space="0" w:color="000001"/>
              <w:left w:val="single" w:sz="4" w:space="0" w:color="00000A"/>
              <w:bottom w:val="single" w:sz="4" w:space="0" w:color="00000A"/>
            </w:tcBorders>
            <w:vAlign w:val="center"/>
          </w:tcPr>
          <w:p w14:paraId="61952E96" w14:textId="77777777" w:rsidR="00A92E1C" w:rsidRPr="00EC4067" w:rsidRDefault="00A92E1C">
            <w:pPr>
              <w:spacing w:after="0" w:line="240" w:lineRule="auto"/>
              <w:jc w:val="center"/>
              <w:rPr>
                <w:rFonts w:ascii="Calibri" w:hAnsi="Calibri" w:cs="Calibri"/>
                <w:color w:val="000000"/>
                <w:sz w:val="22"/>
                <w:szCs w:val="22"/>
              </w:rPr>
            </w:pPr>
          </w:p>
        </w:tc>
        <w:tc>
          <w:tcPr>
            <w:tcW w:w="1270" w:type="dxa"/>
            <w:tcBorders>
              <w:top w:val="single" w:sz="4" w:space="0" w:color="000001"/>
              <w:left w:val="single" w:sz="4" w:space="0" w:color="000001"/>
              <w:bottom w:val="single" w:sz="4" w:space="0" w:color="000001"/>
              <w:right w:val="single" w:sz="4" w:space="0" w:color="000001"/>
            </w:tcBorders>
            <w:vAlign w:val="center"/>
          </w:tcPr>
          <w:p w14:paraId="3329193E" w14:textId="77777777" w:rsidR="00A92E1C" w:rsidRPr="00EC4067" w:rsidRDefault="00A92E1C">
            <w:pPr>
              <w:spacing w:after="0" w:line="240" w:lineRule="auto"/>
              <w:jc w:val="center"/>
              <w:rPr>
                <w:rFonts w:ascii="Calibri" w:hAnsi="Calibri" w:cs="Calibri"/>
                <w:color w:val="000000"/>
                <w:sz w:val="22"/>
                <w:szCs w:val="22"/>
              </w:rPr>
            </w:pPr>
          </w:p>
        </w:tc>
      </w:tr>
      <w:tr w:rsidR="00A92E1C" w:rsidRPr="00EC4067" w14:paraId="4316C41B" w14:textId="77777777">
        <w:trPr>
          <w:trHeight w:val="555"/>
        </w:trPr>
        <w:tc>
          <w:tcPr>
            <w:tcW w:w="792" w:type="dxa"/>
            <w:tcBorders>
              <w:top w:val="single" w:sz="4" w:space="0" w:color="00000A"/>
            </w:tcBorders>
            <w:vAlign w:val="center"/>
          </w:tcPr>
          <w:p w14:paraId="64D5BADA" w14:textId="77777777" w:rsidR="00A92E1C" w:rsidRPr="00EC4067" w:rsidRDefault="00A92E1C">
            <w:pPr>
              <w:spacing w:after="0" w:line="240" w:lineRule="auto"/>
              <w:ind w:left="-10" w:firstLine="10"/>
              <w:jc w:val="center"/>
              <w:rPr>
                <w:rFonts w:ascii="Calibri" w:hAnsi="Calibri" w:cs="Calibri"/>
                <w:b/>
                <w:color w:val="000000"/>
                <w:sz w:val="22"/>
                <w:szCs w:val="22"/>
              </w:rPr>
            </w:pPr>
          </w:p>
        </w:tc>
        <w:tc>
          <w:tcPr>
            <w:tcW w:w="1335" w:type="dxa"/>
            <w:tcBorders>
              <w:top w:val="single" w:sz="4" w:space="0" w:color="00000A"/>
            </w:tcBorders>
            <w:vAlign w:val="center"/>
          </w:tcPr>
          <w:p w14:paraId="766E2F9C" w14:textId="77777777" w:rsidR="00A92E1C" w:rsidRPr="00EC4067" w:rsidRDefault="00A92E1C">
            <w:pPr>
              <w:pStyle w:val="Tekstpodstawowy"/>
              <w:tabs>
                <w:tab w:val="left" w:pos="2348"/>
                <w:tab w:val="left" w:pos="3765"/>
              </w:tabs>
              <w:ind w:right="-228"/>
              <w:jc w:val="left"/>
              <w:rPr>
                <w:rFonts w:cs="Calibri"/>
                <w:color w:val="000000"/>
                <w:sz w:val="22"/>
              </w:rPr>
            </w:pPr>
          </w:p>
        </w:tc>
        <w:tc>
          <w:tcPr>
            <w:tcW w:w="566" w:type="dxa"/>
            <w:tcBorders>
              <w:top w:val="single" w:sz="4" w:space="0" w:color="00000A"/>
              <w:right w:val="single" w:sz="4" w:space="0" w:color="00000A"/>
            </w:tcBorders>
            <w:vAlign w:val="center"/>
          </w:tcPr>
          <w:p w14:paraId="7C255B85" w14:textId="77777777" w:rsidR="00A92E1C" w:rsidRPr="00EC4067" w:rsidRDefault="00A92E1C">
            <w:pPr>
              <w:spacing w:after="0" w:line="240" w:lineRule="auto"/>
              <w:jc w:val="center"/>
              <w:rPr>
                <w:rFonts w:ascii="Calibri" w:hAnsi="Calibri" w:cs="Calibri"/>
                <w:color w:val="000000"/>
                <w:sz w:val="22"/>
                <w:szCs w:val="22"/>
              </w:rPr>
            </w:pPr>
          </w:p>
        </w:tc>
        <w:tc>
          <w:tcPr>
            <w:tcW w:w="1417" w:type="dxa"/>
            <w:tcBorders>
              <w:top w:val="single" w:sz="4" w:space="0" w:color="00000A"/>
              <w:left w:val="single" w:sz="4" w:space="0" w:color="00000A"/>
              <w:bottom w:val="single" w:sz="4" w:space="0" w:color="00000A"/>
              <w:right w:val="single" w:sz="4" w:space="0" w:color="00000A"/>
            </w:tcBorders>
            <w:vAlign w:val="center"/>
          </w:tcPr>
          <w:p w14:paraId="4034F43A"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b/>
                <w:bCs/>
                <w:color w:val="000000"/>
                <w:sz w:val="22"/>
                <w:szCs w:val="22"/>
              </w:rPr>
              <w:t>Wartość netto oferty</w:t>
            </w:r>
          </w:p>
        </w:tc>
        <w:tc>
          <w:tcPr>
            <w:tcW w:w="991" w:type="dxa"/>
            <w:tcBorders>
              <w:top w:val="single" w:sz="4" w:space="0" w:color="00000A"/>
              <w:left w:val="single" w:sz="4" w:space="0" w:color="00000A"/>
              <w:bottom w:val="single" w:sz="4" w:space="0" w:color="00000A"/>
              <w:right w:val="single" w:sz="4" w:space="0" w:color="00000A"/>
            </w:tcBorders>
            <w:vAlign w:val="center"/>
          </w:tcPr>
          <w:p w14:paraId="4A8A3919" w14:textId="77777777" w:rsidR="00A92E1C" w:rsidRPr="00EC4067" w:rsidRDefault="00A92E1C">
            <w:pPr>
              <w:spacing w:after="0" w:line="240" w:lineRule="auto"/>
              <w:jc w:val="center"/>
              <w:rPr>
                <w:rFonts w:ascii="Calibri" w:hAnsi="Calibri" w:cs="Calibri"/>
                <w:color w:val="000000"/>
                <w:sz w:val="22"/>
                <w:szCs w:val="22"/>
              </w:rPr>
            </w:pPr>
          </w:p>
        </w:tc>
        <w:tc>
          <w:tcPr>
            <w:tcW w:w="993" w:type="dxa"/>
            <w:tcBorders>
              <w:top w:val="single" w:sz="4" w:space="0" w:color="00000A"/>
              <w:left w:val="single" w:sz="4" w:space="0" w:color="00000A"/>
              <w:right w:val="single" w:sz="4" w:space="0" w:color="00000A"/>
            </w:tcBorders>
            <w:vAlign w:val="center"/>
          </w:tcPr>
          <w:p w14:paraId="33BD60BB" w14:textId="77777777" w:rsidR="00A92E1C" w:rsidRPr="00EC4067" w:rsidRDefault="00A92E1C">
            <w:pPr>
              <w:spacing w:after="0" w:line="240" w:lineRule="auto"/>
              <w:jc w:val="center"/>
              <w:rPr>
                <w:rFonts w:ascii="Calibri" w:hAnsi="Calibri" w:cs="Calibri"/>
                <w:color w:val="000000"/>
                <w:sz w:val="22"/>
                <w:szCs w:val="22"/>
              </w:rPr>
            </w:pPr>
          </w:p>
        </w:tc>
        <w:tc>
          <w:tcPr>
            <w:tcW w:w="1416" w:type="dxa"/>
            <w:tcBorders>
              <w:top w:val="single" w:sz="4" w:space="0" w:color="00000A"/>
              <w:left w:val="single" w:sz="4" w:space="0" w:color="00000A"/>
              <w:bottom w:val="single" w:sz="4" w:space="0" w:color="00000A"/>
              <w:right w:val="single" w:sz="4" w:space="0" w:color="00000A"/>
            </w:tcBorders>
            <w:vAlign w:val="center"/>
          </w:tcPr>
          <w:p w14:paraId="0334A7F3" w14:textId="77777777" w:rsidR="00A92E1C" w:rsidRPr="00EC4067" w:rsidRDefault="009357C5">
            <w:pPr>
              <w:spacing w:after="0" w:line="240" w:lineRule="auto"/>
              <w:jc w:val="center"/>
              <w:rPr>
                <w:rFonts w:ascii="Calibri" w:hAnsi="Calibri" w:cs="Calibri"/>
                <w:sz w:val="22"/>
                <w:szCs w:val="22"/>
              </w:rPr>
            </w:pPr>
            <w:r w:rsidRPr="00EC4067">
              <w:rPr>
                <w:rFonts w:ascii="Calibri" w:hAnsi="Calibri" w:cs="Calibri"/>
                <w:b/>
                <w:bCs/>
                <w:color w:val="000000"/>
                <w:sz w:val="22"/>
                <w:szCs w:val="22"/>
              </w:rPr>
              <w:t>Wartość brutto oferty</w:t>
            </w:r>
          </w:p>
        </w:tc>
        <w:tc>
          <w:tcPr>
            <w:tcW w:w="1270" w:type="dxa"/>
            <w:tcBorders>
              <w:top w:val="single" w:sz="4" w:space="0" w:color="000001"/>
              <w:left w:val="single" w:sz="4" w:space="0" w:color="00000A"/>
              <w:bottom w:val="single" w:sz="4" w:space="0" w:color="000001"/>
              <w:right w:val="single" w:sz="4" w:space="0" w:color="000001"/>
            </w:tcBorders>
            <w:vAlign w:val="center"/>
          </w:tcPr>
          <w:p w14:paraId="161BC9BB" w14:textId="77777777" w:rsidR="00A92E1C" w:rsidRPr="00EC4067" w:rsidRDefault="00A92E1C">
            <w:pPr>
              <w:spacing w:after="0" w:line="240" w:lineRule="auto"/>
              <w:jc w:val="center"/>
              <w:rPr>
                <w:rFonts w:ascii="Calibri" w:hAnsi="Calibri" w:cs="Calibri"/>
                <w:color w:val="000000"/>
                <w:sz w:val="22"/>
                <w:szCs w:val="22"/>
              </w:rPr>
            </w:pPr>
          </w:p>
        </w:tc>
      </w:tr>
    </w:tbl>
    <w:p w14:paraId="5B6E20FD" w14:textId="77777777" w:rsidR="00A92E1C" w:rsidRPr="00EC4067" w:rsidRDefault="00A92E1C">
      <w:pPr>
        <w:spacing w:after="0" w:line="240" w:lineRule="auto"/>
        <w:rPr>
          <w:rFonts w:ascii="Calibri" w:hAnsi="Calibri" w:cs="Calibri"/>
          <w:sz w:val="22"/>
          <w:szCs w:val="22"/>
        </w:rPr>
      </w:pPr>
    </w:p>
    <w:p w14:paraId="2AF47A4E" w14:textId="77777777" w:rsidR="00A92E1C" w:rsidRPr="00EC4067" w:rsidRDefault="00A92E1C">
      <w:pPr>
        <w:spacing w:after="0" w:line="240" w:lineRule="auto"/>
        <w:rPr>
          <w:rFonts w:ascii="Calibri" w:hAnsi="Calibri" w:cs="Calibri"/>
          <w:sz w:val="22"/>
          <w:szCs w:val="22"/>
        </w:rPr>
      </w:pPr>
    </w:p>
    <w:p w14:paraId="0004C780" w14:textId="6793B740" w:rsidR="00A92E1C" w:rsidRPr="00EC4067" w:rsidRDefault="009357C5">
      <w:pPr>
        <w:spacing w:after="0" w:line="240" w:lineRule="auto"/>
        <w:rPr>
          <w:rFonts w:ascii="Calibri" w:hAnsi="Calibri" w:cs="Calibri"/>
          <w:sz w:val="22"/>
          <w:szCs w:val="22"/>
        </w:rPr>
      </w:pPr>
      <w:r w:rsidRPr="00EC4067">
        <w:rPr>
          <w:rFonts w:ascii="Calibri" w:hAnsi="Calibri" w:cs="Calibri"/>
          <w:sz w:val="22"/>
          <w:szCs w:val="22"/>
        </w:rPr>
        <w:t xml:space="preserve">Wykonawca oświadcza, że okres gwarancji przedmiotu zamówienia wynosi  …………………………….............................................. </w:t>
      </w:r>
      <w:r w:rsidRPr="00EC4067">
        <w:rPr>
          <w:rFonts w:ascii="Calibri" w:hAnsi="Calibri" w:cs="Calibri"/>
          <w:sz w:val="22"/>
          <w:szCs w:val="22"/>
        </w:rPr>
        <w:t>(wypełnia wykonawca)</w:t>
      </w:r>
    </w:p>
    <w:sectPr w:rsidR="00A92E1C" w:rsidRPr="00EC4067">
      <w:headerReference w:type="default" r:id="rId10"/>
      <w:pgSz w:w="11906" w:h="16838"/>
      <w:pgMar w:top="1417" w:right="1423" w:bottom="708" w:left="1352" w:header="708" w:footer="0"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C3AAC" w14:textId="77777777" w:rsidR="009357C5" w:rsidRDefault="009357C5">
      <w:pPr>
        <w:spacing w:after="0" w:line="240" w:lineRule="auto"/>
        <w:rPr>
          <w:rFonts w:hint="eastAsia"/>
        </w:rPr>
      </w:pPr>
      <w:r>
        <w:separator/>
      </w:r>
    </w:p>
  </w:endnote>
  <w:endnote w:type="continuationSeparator" w:id="0">
    <w:p w14:paraId="1F51EEE0" w14:textId="77777777" w:rsidR="009357C5" w:rsidRDefault="009357C5">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Courier New">
    <w:panose1 w:val="02070309020205020404"/>
    <w:charset w:val="EE"/>
    <w:family w:val="modern"/>
    <w:pitch w:val="fixed"/>
    <w:sig w:usb0="E0002EFF" w:usb1="C0007843" w:usb2="00000009" w:usb3="00000000" w:csb0="000001F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F4423" w14:textId="77777777" w:rsidR="009357C5" w:rsidRDefault="009357C5">
      <w:pPr>
        <w:spacing w:after="0" w:line="240" w:lineRule="auto"/>
        <w:rPr>
          <w:rFonts w:hint="eastAsia"/>
        </w:rPr>
      </w:pPr>
      <w:r>
        <w:separator/>
      </w:r>
    </w:p>
  </w:footnote>
  <w:footnote w:type="continuationSeparator" w:id="0">
    <w:p w14:paraId="7E0B2AE9" w14:textId="77777777" w:rsidR="009357C5" w:rsidRDefault="009357C5">
      <w:pPr>
        <w:spacing w:after="0" w:line="240" w:lineRule="auto"/>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C3439" w14:textId="69261F25" w:rsidR="00A92E1C" w:rsidRDefault="00EC4067" w:rsidP="00EC4067">
    <w:pPr>
      <w:jc w:val="center"/>
      <w:rPr>
        <w:rFonts w:ascii="Arial" w:hAnsi="Arial" w:cs="Arial"/>
        <w:color w:val="000000"/>
        <w:sz w:val="20"/>
        <w:szCs w:val="20"/>
      </w:rPr>
    </w:pPr>
    <w:r>
      <w:rPr>
        <w:noProof/>
      </w:rPr>
      <w:drawing>
        <wp:anchor distT="0" distB="0" distL="0" distR="0" simplePos="0" relativeHeight="18" behindDoc="0" locked="0" layoutInCell="0" allowOverlap="1" wp14:anchorId="764D02FA" wp14:editId="2332A664">
          <wp:simplePos x="0" y="0"/>
          <wp:positionH relativeFrom="margin">
            <wp:align>right</wp:align>
          </wp:positionH>
          <wp:positionV relativeFrom="paragraph">
            <wp:posOffset>831850</wp:posOffset>
          </wp:positionV>
          <wp:extent cx="5760720" cy="548640"/>
          <wp:effectExtent l="0" t="0" r="0" b="0"/>
          <wp:wrapTopAndBottom/>
          <wp:docPr id="6" name="grafik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a1"/>
                  <pic:cNvPicPr>
                    <a:picLocks noChangeAspect="1" noChangeArrowheads="1"/>
                  </pic:cNvPicPr>
                </pic:nvPicPr>
                <pic:blipFill>
                  <a:blip r:embed="rId1"/>
                  <a:stretch>
                    <a:fillRect/>
                  </a:stretch>
                </pic:blipFill>
                <pic:spPr bwMode="auto">
                  <a:xfrm>
                    <a:off x="0" y="0"/>
                    <a:ext cx="5760720" cy="548640"/>
                  </a:xfrm>
                  <a:prstGeom prst="rect">
                    <a:avLst/>
                  </a:prstGeom>
                  <a:noFill/>
                </pic:spPr>
              </pic:pic>
            </a:graphicData>
          </a:graphic>
        </wp:anchor>
      </w:drawing>
    </w:r>
    <w:r>
      <w:rPr>
        <w:noProof/>
      </w:rPr>
      <w:drawing>
        <wp:inline distT="0" distB="0" distL="0" distR="0" wp14:anchorId="15337973" wp14:editId="05FB9A62">
          <wp:extent cx="4163695" cy="648970"/>
          <wp:effectExtent l="0" t="0" r="0" b="0"/>
          <wp:docPr id="1364594017"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6"/>
                  <pic:cNvPicPr>
                    <a:picLocks noChangeAspect="1" noChangeArrowheads="1"/>
                  </pic:cNvPicPr>
                </pic:nvPicPr>
                <pic:blipFill>
                  <a:blip r:embed="rId2"/>
                  <a:stretch>
                    <a:fillRect/>
                  </a:stretch>
                </pic:blipFill>
                <pic:spPr bwMode="auto">
                  <a:xfrm>
                    <a:off x="0" y="0"/>
                    <a:ext cx="4163695" cy="648970"/>
                  </a:xfrm>
                  <a:prstGeom prst="rect">
                    <a:avLst/>
                  </a:prstGeom>
                </pic:spPr>
              </pic:pic>
            </a:graphicData>
          </a:graphic>
        </wp:inline>
      </w:drawing>
    </w:r>
    <w:bookmarkStart w:id="7" w:name="_Hlk216165413"/>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F13B6"/>
    <w:multiLevelType w:val="multilevel"/>
    <w:tmpl w:val="BDEE0454"/>
    <w:lvl w:ilvl="0">
      <w:start w:val="1"/>
      <w:numFmt w:val="decimal"/>
      <w:lvlText w:val="%1."/>
      <w:lvlJc w:val="left"/>
      <w:pPr>
        <w:tabs>
          <w:tab w:val="num" w:pos="0"/>
        </w:tabs>
        <w:ind w:left="1080" w:hanging="1080"/>
      </w:pPr>
    </w:lvl>
    <w:lvl w:ilvl="1">
      <w:start w:val="1"/>
      <w:numFmt w:val="decimal"/>
      <w:lvlText w:val="%2."/>
      <w:lvlJc w:val="left"/>
      <w:pPr>
        <w:tabs>
          <w:tab w:val="num" w:pos="0"/>
        </w:tabs>
        <w:ind w:left="1440" w:hanging="360"/>
      </w:pPr>
    </w:lvl>
    <w:lvl w:ilvl="2">
      <w:start w:val="1"/>
      <w:numFmt w:val="bullet"/>
      <w:lvlText w:val="-"/>
      <w:lvlJc w:val="left"/>
      <w:pPr>
        <w:tabs>
          <w:tab w:val="num" w:pos="0"/>
        </w:tabs>
        <w:ind w:left="2340" w:hanging="360"/>
      </w:pPr>
      <w:rPr>
        <w:rFonts w:ascii="Tahoma" w:hAnsi="Tahoma" w:cs="Tahoma" w:hint="default"/>
      </w:r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1" w15:restartNumberingAfterBreak="0">
    <w:nsid w:val="37544C98"/>
    <w:multiLevelType w:val="multilevel"/>
    <w:tmpl w:val="603A1878"/>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 w15:restartNumberingAfterBreak="0">
    <w:nsid w:val="3BB979F0"/>
    <w:multiLevelType w:val="multilevel"/>
    <w:tmpl w:val="9438D144"/>
    <w:lvl w:ilvl="0">
      <w:start w:val="1"/>
      <w:numFmt w:val="bullet"/>
      <w:lvlText w:val=""/>
      <w:lvlJc w:val="left"/>
      <w:pPr>
        <w:tabs>
          <w:tab w:val="num" w:pos="0"/>
        </w:tabs>
        <w:ind w:left="720" w:hanging="360"/>
      </w:pPr>
      <w:rPr>
        <w:rFonts w:ascii="Symbol" w:hAnsi="Symbol" w:cs="Symbol" w:hint="default"/>
        <w:sz w:val="20"/>
      </w:rPr>
    </w:lvl>
    <w:lvl w:ilvl="1">
      <w:start w:val="1"/>
      <w:numFmt w:val="bullet"/>
      <w:lvlText w:val=""/>
      <w:lvlJc w:val="left"/>
      <w:pPr>
        <w:tabs>
          <w:tab w:val="num" w:pos="0"/>
        </w:tabs>
        <w:ind w:left="1440" w:hanging="360"/>
      </w:pPr>
      <w:rPr>
        <w:rFonts w:ascii="Symbol" w:hAnsi="Symbol" w:cs="Symbol" w:hint="default"/>
        <w:sz w:val="20"/>
      </w:rPr>
    </w:lvl>
    <w:lvl w:ilvl="2">
      <w:start w:val="1"/>
      <w:numFmt w:val="bullet"/>
      <w:lvlText w:val=""/>
      <w:lvlJc w:val="left"/>
      <w:pPr>
        <w:tabs>
          <w:tab w:val="num" w:pos="0"/>
        </w:tabs>
        <w:ind w:left="2160" w:hanging="360"/>
      </w:pPr>
      <w:rPr>
        <w:rFonts w:ascii="Symbol" w:hAnsi="Symbol" w:cs="Symbol" w:hint="default"/>
        <w:sz w:val="20"/>
      </w:rPr>
    </w:lvl>
    <w:lvl w:ilvl="3">
      <w:start w:val="1"/>
      <w:numFmt w:val="bullet"/>
      <w:lvlText w:val=""/>
      <w:lvlJc w:val="left"/>
      <w:pPr>
        <w:tabs>
          <w:tab w:val="num" w:pos="0"/>
        </w:tabs>
        <w:ind w:left="2880" w:hanging="360"/>
      </w:pPr>
      <w:rPr>
        <w:rFonts w:ascii="Symbol" w:hAnsi="Symbol" w:cs="Symbol" w:hint="default"/>
        <w:sz w:val="20"/>
      </w:rPr>
    </w:lvl>
    <w:lvl w:ilvl="4">
      <w:start w:val="1"/>
      <w:numFmt w:val="bullet"/>
      <w:lvlText w:val=""/>
      <w:lvlJc w:val="left"/>
      <w:pPr>
        <w:tabs>
          <w:tab w:val="num" w:pos="0"/>
        </w:tabs>
        <w:ind w:left="3600" w:hanging="360"/>
      </w:pPr>
      <w:rPr>
        <w:rFonts w:ascii="Symbol" w:hAnsi="Symbol" w:cs="Symbol" w:hint="default"/>
        <w:sz w:val="20"/>
      </w:rPr>
    </w:lvl>
    <w:lvl w:ilvl="5">
      <w:start w:val="1"/>
      <w:numFmt w:val="bullet"/>
      <w:lvlText w:val=""/>
      <w:lvlJc w:val="left"/>
      <w:pPr>
        <w:tabs>
          <w:tab w:val="num" w:pos="0"/>
        </w:tabs>
        <w:ind w:left="4320" w:hanging="360"/>
      </w:pPr>
      <w:rPr>
        <w:rFonts w:ascii="Symbol" w:hAnsi="Symbol" w:cs="Symbol" w:hint="default"/>
        <w:sz w:val="20"/>
      </w:rPr>
    </w:lvl>
    <w:lvl w:ilvl="6">
      <w:start w:val="1"/>
      <w:numFmt w:val="bullet"/>
      <w:lvlText w:val=""/>
      <w:lvlJc w:val="left"/>
      <w:pPr>
        <w:tabs>
          <w:tab w:val="num" w:pos="0"/>
        </w:tabs>
        <w:ind w:left="5040" w:hanging="360"/>
      </w:pPr>
      <w:rPr>
        <w:rFonts w:ascii="Symbol" w:hAnsi="Symbol" w:cs="Symbol" w:hint="default"/>
        <w:sz w:val="20"/>
      </w:rPr>
    </w:lvl>
    <w:lvl w:ilvl="7">
      <w:start w:val="1"/>
      <w:numFmt w:val="bullet"/>
      <w:lvlText w:val=""/>
      <w:lvlJc w:val="left"/>
      <w:pPr>
        <w:tabs>
          <w:tab w:val="num" w:pos="0"/>
        </w:tabs>
        <w:ind w:left="5760" w:hanging="360"/>
      </w:pPr>
      <w:rPr>
        <w:rFonts w:ascii="Symbol" w:hAnsi="Symbol" w:cs="Symbol" w:hint="default"/>
        <w:sz w:val="20"/>
      </w:rPr>
    </w:lvl>
    <w:lvl w:ilvl="8">
      <w:start w:val="1"/>
      <w:numFmt w:val="bullet"/>
      <w:lvlText w:val=""/>
      <w:lvlJc w:val="left"/>
      <w:pPr>
        <w:tabs>
          <w:tab w:val="num" w:pos="0"/>
        </w:tabs>
        <w:ind w:left="6480" w:hanging="360"/>
      </w:pPr>
      <w:rPr>
        <w:rFonts w:ascii="Symbol" w:hAnsi="Symbol" w:cs="Symbol" w:hint="default"/>
        <w:sz w:val="20"/>
      </w:rPr>
    </w:lvl>
  </w:abstractNum>
  <w:abstractNum w:abstractNumId="3" w15:restartNumberingAfterBreak="0">
    <w:nsid w:val="5B5B6B55"/>
    <w:multiLevelType w:val="multilevel"/>
    <w:tmpl w:val="EFE4A9D4"/>
    <w:lvl w:ilvl="0">
      <w:start w:val="1"/>
      <w:numFmt w:val="none"/>
      <w:pStyle w:val="Nagwek1user"/>
      <w:suff w:val="nothing"/>
      <w:lvlText w:val="%1"/>
      <w:lvlJc w:val="left"/>
      <w:pPr>
        <w:tabs>
          <w:tab w:val="num" w:pos="0"/>
        </w:tabs>
        <w:ind w:left="0" w:firstLine="0"/>
      </w:pPr>
    </w:lvl>
    <w:lvl w:ilvl="1">
      <w:start w:val="1"/>
      <w:numFmt w:val="none"/>
      <w:pStyle w:val="Nagwek2user"/>
      <w:suff w:val="nothing"/>
      <w:lvlText w:val="%2"/>
      <w:lvlJc w:val="left"/>
      <w:pPr>
        <w:tabs>
          <w:tab w:val="num" w:pos="0"/>
        </w:tabs>
        <w:ind w:left="0" w:firstLine="0"/>
      </w:pPr>
    </w:lvl>
    <w:lvl w:ilvl="2">
      <w:start w:val="1"/>
      <w:numFmt w:val="none"/>
      <w:pStyle w:val="Nagwek3user"/>
      <w:suff w:val="nothing"/>
      <w:lvlText w:val="%3"/>
      <w:lvlJc w:val="left"/>
      <w:pPr>
        <w:tabs>
          <w:tab w:val="num" w:pos="0"/>
        </w:tabs>
        <w:ind w:left="0" w:firstLine="0"/>
      </w:pPr>
    </w:lvl>
    <w:lvl w:ilvl="3">
      <w:start w:val="1"/>
      <w:numFmt w:val="none"/>
      <w:pStyle w:val="Nagwek4user"/>
      <w:suff w:val="nothing"/>
      <w:lvlText w:val="%4"/>
      <w:lvlJc w:val="left"/>
      <w:pPr>
        <w:tabs>
          <w:tab w:val="num" w:pos="0"/>
        </w:tabs>
        <w:ind w:left="0" w:firstLine="0"/>
      </w:pPr>
    </w:lvl>
    <w:lvl w:ilvl="4">
      <w:start w:val="1"/>
      <w:numFmt w:val="none"/>
      <w:pStyle w:val="Nagwek5user"/>
      <w:suff w:val="nothing"/>
      <w:lvlText w:val="%5"/>
      <w:lvlJc w:val="left"/>
      <w:pPr>
        <w:tabs>
          <w:tab w:val="num" w:pos="0"/>
        </w:tabs>
        <w:ind w:left="0" w:firstLine="0"/>
      </w:pPr>
    </w:lvl>
    <w:lvl w:ilvl="5">
      <w:start w:val="1"/>
      <w:numFmt w:val="none"/>
      <w:pStyle w:val="Nagwek6user"/>
      <w:suff w:val="nothing"/>
      <w:lvlText w:val="%6"/>
      <w:lvlJc w:val="left"/>
      <w:pPr>
        <w:tabs>
          <w:tab w:val="num" w:pos="0"/>
        </w:tabs>
        <w:ind w:left="0" w:firstLine="0"/>
      </w:pPr>
    </w:lvl>
    <w:lvl w:ilvl="6">
      <w:start w:val="1"/>
      <w:numFmt w:val="none"/>
      <w:pStyle w:val="Nagwek7user"/>
      <w:suff w:val="nothing"/>
      <w:lvlText w:val="%7"/>
      <w:lvlJc w:val="left"/>
      <w:pPr>
        <w:tabs>
          <w:tab w:val="num" w:pos="0"/>
        </w:tabs>
        <w:ind w:left="0" w:firstLine="0"/>
      </w:pPr>
    </w:lvl>
    <w:lvl w:ilvl="7">
      <w:start w:val="1"/>
      <w:numFmt w:val="none"/>
      <w:pStyle w:val="Nagwek8user"/>
      <w:suff w:val="nothing"/>
      <w:lvlText w:val="%8"/>
      <w:lvlJc w:val="left"/>
      <w:pPr>
        <w:tabs>
          <w:tab w:val="num" w:pos="0"/>
        </w:tabs>
        <w:ind w:left="0" w:firstLine="0"/>
      </w:pPr>
    </w:lvl>
    <w:lvl w:ilvl="8">
      <w:start w:val="1"/>
      <w:numFmt w:val="none"/>
      <w:pStyle w:val="Nagwek9user"/>
      <w:suff w:val="nothing"/>
      <w:lvlText w:val="%9"/>
      <w:lvlJc w:val="left"/>
      <w:pPr>
        <w:tabs>
          <w:tab w:val="num" w:pos="0"/>
        </w:tabs>
        <w:ind w:left="0" w:firstLine="0"/>
      </w:pPr>
    </w:lvl>
  </w:abstractNum>
  <w:abstractNum w:abstractNumId="4" w15:restartNumberingAfterBreak="0">
    <w:nsid w:val="6D3B501E"/>
    <w:multiLevelType w:val="multilevel"/>
    <w:tmpl w:val="9CB660CA"/>
    <w:lvl w:ilvl="0">
      <w:start w:val="1"/>
      <w:numFmt w:val="decimal"/>
      <w:lvlText w:val="%1."/>
      <w:lvlJc w:val="left"/>
      <w:pPr>
        <w:tabs>
          <w:tab w:val="num" w:pos="0"/>
        </w:tabs>
        <w:ind w:left="1080" w:hanging="1080"/>
      </w:pPr>
    </w:lvl>
    <w:lvl w:ilvl="1">
      <w:start w:val="1"/>
      <w:numFmt w:val="decimal"/>
      <w:lvlText w:val="%2."/>
      <w:lvlJc w:val="left"/>
      <w:pPr>
        <w:tabs>
          <w:tab w:val="num" w:pos="0"/>
        </w:tabs>
        <w:ind w:left="1440" w:hanging="360"/>
      </w:pPr>
    </w:lvl>
    <w:lvl w:ilvl="2">
      <w:start w:val="1"/>
      <w:numFmt w:val="bullet"/>
      <w:lvlText w:val="-"/>
      <w:lvlJc w:val="left"/>
      <w:pPr>
        <w:tabs>
          <w:tab w:val="num" w:pos="0"/>
        </w:tabs>
        <w:ind w:left="2340" w:hanging="360"/>
      </w:pPr>
      <w:rPr>
        <w:rFonts w:ascii="Tahoma" w:hAnsi="Tahoma" w:cs="Tahoma" w:hint="default"/>
      </w:r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5" w15:restartNumberingAfterBreak="0">
    <w:nsid w:val="6E8418F7"/>
    <w:multiLevelType w:val="multilevel"/>
    <w:tmpl w:val="E214C1D2"/>
    <w:lvl w:ilvl="0">
      <w:start w:val="1"/>
      <w:numFmt w:val="lowerLetter"/>
      <w:lvlText w:val="%1)"/>
      <w:lvlJc w:val="left"/>
      <w:pPr>
        <w:tabs>
          <w:tab w:val="num" w:pos="0"/>
        </w:tabs>
        <w:ind w:left="720" w:hanging="360"/>
      </w:pPr>
      <w:rPr>
        <w:rFonts w:ascii="Calibri" w:eastAsia="Calibri" w:hAnsi="Calibri"/>
        <w:b w:val="0"/>
        <w:color w:val="000000"/>
        <w:sz w:val="20"/>
        <w:szCs w:val="20"/>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num w:numId="1" w16cid:durableId="164975579">
    <w:abstractNumId w:val="3"/>
  </w:num>
  <w:num w:numId="2" w16cid:durableId="1938974940">
    <w:abstractNumId w:val="2"/>
  </w:num>
  <w:num w:numId="3" w16cid:durableId="882516857">
    <w:abstractNumId w:val="4"/>
  </w:num>
  <w:num w:numId="4" w16cid:durableId="1131749296">
    <w:abstractNumId w:val="1"/>
  </w:num>
  <w:num w:numId="5" w16cid:durableId="1081294362">
    <w:abstractNumId w:val="5"/>
  </w:num>
  <w:num w:numId="6" w16cid:durableId="663818780">
    <w:abstractNumId w:val="1"/>
    <w:lvlOverride w:ilvl="0">
      <w:startOverride w:val="1"/>
    </w:lvlOverride>
  </w:num>
  <w:num w:numId="7" w16cid:durableId="1396586139">
    <w:abstractNumId w:val="5"/>
    <w:lvlOverride w:ilvl="0">
      <w:startOverride w:val="1"/>
    </w:lvlOverride>
  </w:num>
  <w:num w:numId="8" w16cid:durableId="1361206164">
    <w:abstractNumId w:val="4"/>
    <w:lvlOverride w:ilvl="0">
      <w:startOverride w:val="1"/>
    </w:lvlOverride>
  </w:num>
  <w:num w:numId="9" w16cid:durableId="971710292">
    <w:abstractNumId w:val="0"/>
  </w:num>
  <w:num w:numId="10" w16cid:durableId="95047648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autoHyphenation/>
  <w:hyphenationZone w:val="0"/>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A92E1C"/>
    <w:rsid w:val="00776FFF"/>
    <w:rsid w:val="00884326"/>
    <w:rsid w:val="009357C5"/>
    <w:rsid w:val="00A92E1C"/>
    <w:rsid w:val="00EC40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22D86D"/>
  <w15:docId w15:val="{513409A6-3652-4B65-9464-1576F8436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SimSun" w:hAnsi="Aptos" w:cs="F"/>
        <w:kern w:val="2"/>
        <w:sz w:val="24"/>
        <w:szCs w:val="24"/>
        <w:lang w:val="pl-PL" w:eastAsia="en-US" w:bidi="ar-SA"/>
      </w:rPr>
    </w:rPrDefault>
    <w:pPrDefault>
      <w:pPr>
        <w:spacing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suppressAutoHyphens/>
      <w:spacing w:after="16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qFormat/>
    <w:rPr>
      <w:rFonts w:ascii="Aptos Display" w:hAnsi="Aptos Display" w:cs="F"/>
      <w:color w:val="0F4761"/>
      <w:sz w:val="40"/>
      <w:szCs w:val="40"/>
    </w:rPr>
  </w:style>
  <w:style w:type="character" w:customStyle="1" w:styleId="Nagwek2Znak">
    <w:name w:val="Nagłówek 2 Znak"/>
    <w:basedOn w:val="Domylnaczcionkaakapitu"/>
    <w:qFormat/>
    <w:rPr>
      <w:rFonts w:ascii="Aptos Display" w:hAnsi="Aptos Display" w:cs="F"/>
      <w:color w:val="0F4761"/>
      <w:sz w:val="32"/>
      <w:szCs w:val="32"/>
    </w:rPr>
  </w:style>
  <w:style w:type="character" w:customStyle="1" w:styleId="Nagwek3Znak">
    <w:name w:val="Nagłówek 3 Znak"/>
    <w:basedOn w:val="Domylnaczcionkaakapitu"/>
    <w:qFormat/>
    <w:rPr>
      <w:rFonts w:cs="F"/>
      <w:color w:val="0F4761"/>
      <w:sz w:val="28"/>
      <w:szCs w:val="28"/>
    </w:rPr>
  </w:style>
  <w:style w:type="character" w:customStyle="1" w:styleId="Nagwek4Znak">
    <w:name w:val="Nagłówek 4 Znak"/>
    <w:basedOn w:val="Domylnaczcionkaakapitu"/>
    <w:qFormat/>
    <w:rPr>
      <w:rFonts w:cs="F"/>
      <w:i/>
      <w:iCs/>
      <w:color w:val="0F4761"/>
    </w:rPr>
  </w:style>
  <w:style w:type="character" w:customStyle="1" w:styleId="Nagwek5Znak">
    <w:name w:val="Nagłówek 5 Znak"/>
    <w:basedOn w:val="Domylnaczcionkaakapitu"/>
    <w:qFormat/>
    <w:rPr>
      <w:rFonts w:cs="F"/>
      <w:color w:val="0F4761"/>
    </w:rPr>
  </w:style>
  <w:style w:type="character" w:customStyle="1" w:styleId="Nagwek6Znak">
    <w:name w:val="Nagłówek 6 Znak"/>
    <w:basedOn w:val="Domylnaczcionkaakapitu"/>
    <w:qFormat/>
    <w:rPr>
      <w:rFonts w:cs="F"/>
      <w:i/>
      <w:iCs/>
      <w:color w:val="595959"/>
    </w:rPr>
  </w:style>
  <w:style w:type="character" w:customStyle="1" w:styleId="Nagwek7Znak">
    <w:name w:val="Nagłówek 7 Znak"/>
    <w:basedOn w:val="Domylnaczcionkaakapitu"/>
    <w:qFormat/>
    <w:rPr>
      <w:rFonts w:cs="F"/>
      <w:color w:val="595959"/>
    </w:rPr>
  </w:style>
  <w:style w:type="character" w:customStyle="1" w:styleId="Nagwek8Znak">
    <w:name w:val="Nagłówek 8 Znak"/>
    <w:basedOn w:val="Domylnaczcionkaakapitu"/>
    <w:qFormat/>
    <w:rPr>
      <w:rFonts w:cs="F"/>
      <w:i/>
      <w:iCs/>
      <w:color w:val="272727"/>
    </w:rPr>
  </w:style>
  <w:style w:type="character" w:customStyle="1" w:styleId="Nagwek9Znak">
    <w:name w:val="Nagłówek 9 Znak"/>
    <w:basedOn w:val="Domylnaczcionkaakapitu"/>
    <w:qFormat/>
    <w:rPr>
      <w:rFonts w:cs="F"/>
      <w:color w:val="272727"/>
    </w:rPr>
  </w:style>
  <w:style w:type="character" w:customStyle="1" w:styleId="TytuZnak">
    <w:name w:val="Tytuł Znak"/>
    <w:basedOn w:val="Domylnaczcionkaakapitu"/>
    <w:qFormat/>
    <w:rPr>
      <w:rFonts w:ascii="Aptos Display" w:hAnsi="Aptos Display" w:cs="F"/>
      <w:spacing w:val="-10"/>
      <w:kern w:val="2"/>
      <w:sz w:val="56"/>
      <w:szCs w:val="56"/>
    </w:rPr>
  </w:style>
  <w:style w:type="character" w:customStyle="1" w:styleId="PodtytuZnak">
    <w:name w:val="Podtytuł Znak"/>
    <w:basedOn w:val="Domylnaczcionkaakapitu"/>
    <w:qFormat/>
    <w:rPr>
      <w:rFonts w:cs="F"/>
      <w:color w:val="595959"/>
      <w:spacing w:val="15"/>
      <w:sz w:val="28"/>
      <w:szCs w:val="28"/>
    </w:rPr>
  </w:style>
  <w:style w:type="character" w:customStyle="1" w:styleId="CytatZnak">
    <w:name w:val="Cytat Znak"/>
    <w:basedOn w:val="Domylnaczcionkaakapitu"/>
    <w:qFormat/>
    <w:rPr>
      <w:i/>
      <w:iCs/>
      <w:color w:val="404040"/>
    </w:rPr>
  </w:style>
  <w:style w:type="character" w:styleId="Wyrnienieintensywne">
    <w:name w:val="Intense Emphasis"/>
    <w:basedOn w:val="Domylnaczcionkaakapitu"/>
    <w:qFormat/>
    <w:rPr>
      <w:i/>
      <w:iCs/>
      <w:color w:val="0F4761"/>
    </w:rPr>
  </w:style>
  <w:style w:type="character" w:customStyle="1" w:styleId="CytatintensywnyZnak">
    <w:name w:val="Cytat intensywny Znak"/>
    <w:basedOn w:val="Domylnaczcionkaakapitu"/>
    <w:qFormat/>
    <w:rPr>
      <w:i/>
      <w:iCs/>
      <w:color w:val="0F4761"/>
    </w:rPr>
  </w:style>
  <w:style w:type="character" w:styleId="Odwoanieintensywne">
    <w:name w:val="Intense Reference"/>
    <w:basedOn w:val="Domylnaczcionkaakapitu"/>
    <w:qFormat/>
    <w:rPr>
      <w:b/>
      <w:bCs/>
      <w:smallCaps/>
      <w:color w:val="0F4761"/>
      <w:spacing w:val="5"/>
    </w:rPr>
  </w:style>
  <w:style w:type="character" w:styleId="Hipercze">
    <w:name w:val="Hyperlink"/>
    <w:basedOn w:val="Domylnaczcionkaakapitu"/>
    <w:qFormat/>
    <w:rPr>
      <w:color w:val="0563C1"/>
      <w:u w:val="single"/>
    </w:rPr>
  </w:style>
  <w:style w:type="character" w:customStyle="1" w:styleId="normaltextrun">
    <w:name w:val="normaltextrun"/>
    <w:basedOn w:val="Domylnaczcionkaakapitu"/>
    <w:qFormat/>
  </w:style>
  <w:style w:type="character" w:customStyle="1" w:styleId="NagwekZnak">
    <w:name w:val="Nagłówek Znak"/>
    <w:basedOn w:val="Domylnaczcionkaakapitu"/>
    <w:qFormat/>
  </w:style>
  <w:style w:type="character" w:customStyle="1" w:styleId="StopkaZnak">
    <w:name w:val="Stopka Znak"/>
    <w:basedOn w:val="Domylnaczcionkaakapitu"/>
    <w:qFormat/>
  </w:style>
  <w:style w:type="character" w:customStyle="1" w:styleId="TekstpodstawowyZnak">
    <w:name w:val="Tekst podstawowy Znak"/>
    <w:basedOn w:val="Domylnaczcionkaakapitu"/>
    <w:qFormat/>
    <w:rPr>
      <w:rFonts w:ascii="Calibri" w:eastAsia="Calibri" w:hAnsi="Calibri" w:cs="Tahoma"/>
      <w:kern w:val="2"/>
      <w:szCs w:val="22"/>
    </w:rPr>
  </w:style>
  <w:style w:type="character" w:customStyle="1" w:styleId="Znakinumeracji">
    <w:name w:val="Znaki numeracji"/>
    <w:qFormat/>
  </w:style>
  <w:style w:type="character" w:customStyle="1" w:styleId="WWCharLFO1LVL1">
    <w:name w:val="WW_CharLFO1LVL1"/>
    <w:qFormat/>
    <w:rPr>
      <w:rFonts w:ascii="Symbol" w:hAnsi="Symbol"/>
      <w:sz w:val="20"/>
    </w:rPr>
  </w:style>
  <w:style w:type="character" w:customStyle="1" w:styleId="WWCharLFO1LVL2">
    <w:name w:val="WW_CharLFO1LVL2"/>
    <w:qFormat/>
    <w:rPr>
      <w:rFonts w:ascii="Symbol" w:hAnsi="Symbol"/>
      <w:sz w:val="20"/>
    </w:rPr>
  </w:style>
  <w:style w:type="character" w:customStyle="1" w:styleId="WWCharLFO1LVL3">
    <w:name w:val="WW_CharLFO1LVL3"/>
    <w:qFormat/>
    <w:rPr>
      <w:rFonts w:ascii="Symbol" w:hAnsi="Symbol"/>
      <w:sz w:val="20"/>
    </w:rPr>
  </w:style>
  <w:style w:type="character" w:customStyle="1" w:styleId="WWCharLFO1LVL4">
    <w:name w:val="WW_CharLFO1LVL4"/>
    <w:qFormat/>
    <w:rPr>
      <w:rFonts w:ascii="Symbol" w:hAnsi="Symbol"/>
      <w:sz w:val="20"/>
    </w:rPr>
  </w:style>
  <w:style w:type="character" w:customStyle="1" w:styleId="WWCharLFO1LVL5">
    <w:name w:val="WW_CharLFO1LVL5"/>
    <w:qFormat/>
    <w:rPr>
      <w:rFonts w:ascii="Symbol" w:hAnsi="Symbol"/>
      <w:sz w:val="20"/>
    </w:rPr>
  </w:style>
  <w:style w:type="character" w:customStyle="1" w:styleId="WWCharLFO1LVL6">
    <w:name w:val="WW_CharLFO1LVL6"/>
    <w:qFormat/>
    <w:rPr>
      <w:rFonts w:ascii="Symbol" w:hAnsi="Symbol"/>
      <w:sz w:val="20"/>
    </w:rPr>
  </w:style>
  <w:style w:type="character" w:customStyle="1" w:styleId="WWCharLFO1LVL7">
    <w:name w:val="WW_CharLFO1LVL7"/>
    <w:qFormat/>
    <w:rPr>
      <w:rFonts w:ascii="Symbol" w:hAnsi="Symbol"/>
      <w:sz w:val="20"/>
    </w:rPr>
  </w:style>
  <w:style w:type="character" w:customStyle="1" w:styleId="WWCharLFO1LVL8">
    <w:name w:val="WW_CharLFO1LVL8"/>
    <w:qFormat/>
    <w:rPr>
      <w:rFonts w:ascii="Symbol" w:hAnsi="Symbol"/>
      <w:sz w:val="20"/>
    </w:rPr>
  </w:style>
  <w:style w:type="character" w:customStyle="1" w:styleId="WWCharLFO1LVL9">
    <w:name w:val="WW_CharLFO1LVL9"/>
    <w:qFormat/>
    <w:rPr>
      <w:rFonts w:ascii="Symbol" w:hAnsi="Symbol"/>
      <w:sz w:val="20"/>
    </w:rPr>
  </w:style>
  <w:style w:type="character" w:customStyle="1" w:styleId="WWCharLFO2LVL1">
    <w:name w:val="WW_CharLFO2LVL1"/>
    <w:qFormat/>
    <w:rPr>
      <w:rFonts w:ascii="Symbol" w:hAnsi="Symbol"/>
      <w:sz w:val="20"/>
    </w:rPr>
  </w:style>
  <w:style w:type="character" w:customStyle="1" w:styleId="WWCharLFO2LVL2">
    <w:name w:val="WW_CharLFO2LVL2"/>
    <w:qFormat/>
    <w:rPr>
      <w:rFonts w:ascii="Symbol" w:hAnsi="Symbol"/>
      <w:sz w:val="20"/>
    </w:rPr>
  </w:style>
  <w:style w:type="character" w:customStyle="1" w:styleId="WWCharLFO2LVL3">
    <w:name w:val="WW_CharLFO2LVL3"/>
    <w:qFormat/>
    <w:rPr>
      <w:rFonts w:ascii="Symbol" w:hAnsi="Symbol"/>
      <w:sz w:val="20"/>
    </w:rPr>
  </w:style>
  <w:style w:type="character" w:customStyle="1" w:styleId="WWCharLFO2LVL4">
    <w:name w:val="WW_CharLFO2LVL4"/>
    <w:qFormat/>
    <w:rPr>
      <w:rFonts w:ascii="Symbol" w:hAnsi="Symbol"/>
      <w:sz w:val="20"/>
    </w:rPr>
  </w:style>
  <w:style w:type="character" w:customStyle="1" w:styleId="WWCharLFO2LVL5">
    <w:name w:val="WW_CharLFO2LVL5"/>
    <w:qFormat/>
    <w:rPr>
      <w:rFonts w:ascii="Symbol" w:hAnsi="Symbol"/>
      <w:sz w:val="20"/>
    </w:rPr>
  </w:style>
  <w:style w:type="character" w:customStyle="1" w:styleId="WWCharLFO2LVL6">
    <w:name w:val="WW_CharLFO2LVL6"/>
    <w:qFormat/>
    <w:rPr>
      <w:rFonts w:ascii="Symbol" w:hAnsi="Symbol"/>
      <w:sz w:val="20"/>
    </w:rPr>
  </w:style>
  <w:style w:type="character" w:customStyle="1" w:styleId="WWCharLFO2LVL7">
    <w:name w:val="WW_CharLFO2LVL7"/>
    <w:qFormat/>
    <w:rPr>
      <w:rFonts w:ascii="Symbol" w:hAnsi="Symbol"/>
      <w:sz w:val="20"/>
    </w:rPr>
  </w:style>
  <w:style w:type="character" w:customStyle="1" w:styleId="WWCharLFO2LVL8">
    <w:name w:val="WW_CharLFO2LVL8"/>
    <w:qFormat/>
    <w:rPr>
      <w:rFonts w:ascii="Symbol" w:hAnsi="Symbol"/>
      <w:sz w:val="20"/>
    </w:rPr>
  </w:style>
  <w:style w:type="character" w:customStyle="1" w:styleId="WWCharLFO2LVL9">
    <w:name w:val="WW_CharLFO2LVL9"/>
    <w:qFormat/>
    <w:rPr>
      <w:rFonts w:ascii="Symbol" w:hAnsi="Symbol"/>
      <w:sz w:val="20"/>
    </w:rPr>
  </w:style>
  <w:style w:type="character" w:customStyle="1" w:styleId="WWCharLFO3LVL3">
    <w:name w:val="WW_CharLFO3LVL3"/>
    <w:qFormat/>
    <w:rPr>
      <w:rFonts w:ascii="Tahoma" w:eastAsia="Times New Roman" w:hAnsi="Tahoma" w:cs="Tahoma"/>
    </w:rPr>
  </w:style>
  <w:style w:type="character" w:customStyle="1" w:styleId="WWCharLFO4LVL1">
    <w:name w:val="WW_CharLFO4LVL1"/>
    <w:qFormat/>
    <w:rPr>
      <w:rFonts w:ascii="Tahoma" w:eastAsia="Times New Roman" w:hAnsi="Tahoma" w:cs="Tahoma"/>
    </w:rPr>
  </w:style>
  <w:style w:type="character" w:customStyle="1" w:styleId="WWCharLFO4LVL2">
    <w:name w:val="WW_CharLFO4LVL2"/>
    <w:qFormat/>
    <w:rPr>
      <w:rFonts w:cs="Courier New"/>
    </w:rPr>
  </w:style>
  <w:style w:type="character" w:customStyle="1" w:styleId="WWCharLFO4LVL4">
    <w:name w:val="WW_CharLFO4LVL4"/>
    <w:qFormat/>
    <w:rPr>
      <w:rFonts w:ascii="Symbol" w:hAnsi="Symbol"/>
    </w:rPr>
  </w:style>
  <w:style w:type="character" w:customStyle="1" w:styleId="WWCharLFO4LVL5">
    <w:name w:val="WW_CharLFO4LVL5"/>
    <w:qFormat/>
    <w:rPr>
      <w:rFonts w:cs="Courier New"/>
    </w:rPr>
  </w:style>
  <w:style w:type="character" w:customStyle="1" w:styleId="WWCharLFO4LVL7">
    <w:name w:val="WW_CharLFO4LVL7"/>
    <w:qFormat/>
    <w:rPr>
      <w:rFonts w:ascii="Symbol" w:hAnsi="Symbol"/>
    </w:rPr>
  </w:style>
  <w:style w:type="character" w:customStyle="1" w:styleId="WWCharLFO4LVL8">
    <w:name w:val="WW_CharLFO4LVL8"/>
    <w:qFormat/>
    <w:rPr>
      <w:rFonts w:cs="Courier New"/>
    </w:rPr>
  </w:style>
  <w:style w:type="character" w:customStyle="1" w:styleId="WWCharLFO8LVL1">
    <w:name w:val="WW_CharLFO8LVL1"/>
    <w:qFormat/>
    <w:rPr>
      <w:b/>
      <w:bCs/>
      <w:sz w:val="24"/>
    </w:rPr>
  </w:style>
  <w:style w:type="character" w:customStyle="1" w:styleId="WWCharLFO9LVL1">
    <w:name w:val="WW_CharLFO9LVL1"/>
    <w:qFormat/>
    <w:rPr>
      <w:rFonts w:ascii="Calibri" w:eastAsia="Calibri" w:hAnsi="Calibri"/>
      <w:b w:val="0"/>
      <w:color w:val="000000"/>
      <w:sz w:val="20"/>
      <w:szCs w:val="20"/>
    </w:rPr>
  </w:style>
  <w:style w:type="paragraph" w:customStyle="1" w:styleId="Nagwek1user">
    <w:name w:val="Nagłówek 1 (user)"/>
    <w:basedOn w:val="Normalny"/>
    <w:next w:val="Tekstpodstawowy"/>
    <w:qFormat/>
    <w:pPr>
      <w:keepNext/>
      <w:keepLines/>
      <w:numPr>
        <w:numId w:val="1"/>
      </w:numPr>
      <w:spacing w:before="360" w:after="80"/>
      <w:outlineLvl w:val="0"/>
    </w:pPr>
    <w:rPr>
      <w:rFonts w:ascii="Aptos Display" w:hAnsi="Aptos Display"/>
      <w:color w:val="0F4761"/>
      <w:sz w:val="40"/>
      <w:szCs w:val="40"/>
    </w:rPr>
  </w:style>
  <w:style w:type="paragraph" w:customStyle="1" w:styleId="Nagwek2user">
    <w:name w:val="Nagłówek 2 (user)"/>
    <w:basedOn w:val="Normalny"/>
    <w:next w:val="Tekstpodstawowy"/>
    <w:qFormat/>
    <w:pPr>
      <w:keepNext/>
      <w:keepLines/>
      <w:numPr>
        <w:ilvl w:val="1"/>
        <w:numId w:val="1"/>
      </w:numPr>
      <w:spacing w:before="160" w:after="80"/>
      <w:outlineLvl w:val="1"/>
    </w:pPr>
    <w:rPr>
      <w:rFonts w:ascii="Aptos Display" w:hAnsi="Aptos Display"/>
      <w:color w:val="0F4761"/>
      <w:sz w:val="32"/>
      <w:szCs w:val="32"/>
    </w:rPr>
  </w:style>
  <w:style w:type="paragraph" w:customStyle="1" w:styleId="Nagwek3user">
    <w:name w:val="Nagłówek 3 (user)"/>
    <w:basedOn w:val="Normalny"/>
    <w:next w:val="Tekstpodstawowy"/>
    <w:qFormat/>
    <w:pPr>
      <w:keepNext/>
      <w:keepLines/>
      <w:numPr>
        <w:ilvl w:val="2"/>
        <w:numId w:val="1"/>
      </w:numPr>
      <w:spacing w:before="160" w:after="80"/>
      <w:outlineLvl w:val="2"/>
    </w:pPr>
    <w:rPr>
      <w:color w:val="0F4761"/>
      <w:sz w:val="28"/>
      <w:szCs w:val="28"/>
    </w:rPr>
  </w:style>
  <w:style w:type="paragraph" w:customStyle="1" w:styleId="Nagwek4user">
    <w:name w:val="Nagłówek 4 (user)"/>
    <w:basedOn w:val="Normalny"/>
    <w:next w:val="Tekstpodstawowy"/>
    <w:qFormat/>
    <w:pPr>
      <w:keepNext/>
      <w:keepLines/>
      <w:numPr>
        <w:ilvl w:val="3"/>
        <w:numId w:val="1"/>
      </w:numPr>
      <w:spacing w:before="80" w:after="40"/>
      <w:outlineLvl w:val="3"/>
    </w:pPr>
    <w:rPr>
      <w:i/>
      <w:iCs/>
      <w:color w:val="0F4761"/>
    </w:rPr>
  </w:style>
  <w:style w:type="paragraph" w:customStyle="1" w:styleId="Nagwek5user">
    <w:name w:val="Nagłówek 5 (user)"/>
    <w:basedOn w:val="Normalny"/>
    <w:next w:val="Tekstpodstawowy"/>
    <w:qFormat/>
    <w:pPr>
      <w:keepNext/>
      <w:keepLines/>
      <w:numPr>
        <w:ilvl w:val="4"/>
        <w:numId w:val="1"/>
      </w:numPr>
      <w:spacing w:before="80" w:after="40"/>
      <w:outlineLvl w:val="4"/>
    </w:pPr>
    <w:rPr>
      <w:color w:val="0F4761"/>
    </w:rPr>
  </w:style>
  <w:style w:type="paragraph" w:customStyle="1" w:styleId="Nagwek6user">
    <w:name w:val="Nagłówek 6 (user)"/>
    <w:basedOn w:val="Normalny"/>
    <w:next w:val="Tekstpodstawowy"/>
    <w:qFormat/>
    <w:pPr>
      <w:keepNext/>
      <w:keepLines/>
      <w:numPr>
        <w:ilvl w:val="5"/>
        <w:numId w:val="1"/>
      </w:numPr>
      <w:spacing w:before="40" w:after="0"/>
      <w:outlineLvl w:val="5"/>
    </w:pPr>
    <w:rPr>
      <w:i/>
      <w:iCs/>
      <w:color w:val="595959"/>
    </w:rPr>
  </w:style>
  <w:style w:type="paragraph" w:customStyle="1" w:styleId="Nagwek7user">
    <w:name w:val="Nagłówek 7 (user)"/>
    <w:basedOn w:val="Normalny"/>
    <w:next w:val="Tekstpodstawowy"/>
    <w:qFormat/>
    <w:pPr>
      <w:keepNext/>
      <w:keepLines/>
      <w:numPr>
        <w:ilvl w:val="6"/>
        <w:numId w:val="1"/>
      </w:numPr>
      <w:spacing w:before="40" w:after="0"/>
      <w:outlineLvl w:val="6"/>
    </w:pPr>
    <w:rPr>
      <w:color w:val="595959"/>
    </w:rPr>
  </w:style>
  <w:style w:type="paragraph" w:customStyle="1" w:styleId="Nagwek8user">
    <w:name w:val="Nagłówek 8 (user)"/>
    <w:basedOn w:val="Normalny"/>
    <w:next w:val="Tekstpodstawowy"/>
    <w:qFormat/>
    <w:pPr>
      <w:keepNext/>
      <w:keepLines/>
      <w:numPr>
        <w:ilvl w:val="7"/>
        <w:numId w:val="1"/>
      </w:numPr>
      <w:spacing w:after="0"/>
      <w:outlineLvl w:val="7"/>
    </w:pPr>
    <w:rPr>
      <w:i/>
      <w:iCs/>
      <w:color w:val="272727"/>
    </w:rPr>
  </w:style>
  <w:style w:type="paragraph" w:customStyle="1" w:styleId="Nagwek9user">
    <w:name w:val="Nagłówek 9 (user)"/>
    <w:basedOn w:val="Normalny"/>
    <w:next w:val="Tekstpodstawowy"/>
    <w:qFormat/>
    <w:pPr>
      <w:keepNext/>
      <w:keepLines/>
      <w:numPr>
        <w:ilvl w:val="8"/>
        <w:numId w:val="1"/>
      </w:numPr>
      <w:spacing w:after="0"/>
      <w:outlineLvl w:val="8"/>
    </w:pPr>
    <w:rPr>
      <w:color w:val="272727"/>
    </w:rPr>
  </w:style>
  <w:style w:type="paragraph" w:styleId="Nagwek">
    <w:name w:val="header"/>
    <w:basedOn w:val="Gwkaistopka"/>
    <w:next w:val="Tekstpodstawowy"/>
  </w:style>
  <w:style w:type="paragraph" w:styleId="Tekstpodstawowy">
    <w:name w:val="Body Text"/>
    <w:basedOn w:val="Normalny"/>
    <w:pPr>
      <w:spacing w:after="0" w:line="240" w:lineRule="auto"/>
      <w:jc w:val="both"/>
    </w:pPr>
    <w:rPr>
      <w:rFonts w:ascii="Calibri" w:eastAsia="Calibri" w:hAnsi="Calibri" w:cs="Tahoma"/>
      <w:szCs w:val="22"/>
    </w:rPr>
  </w:style>
  <w:style w:type="paragraph" w:customStyle="1" w:styleId="Listauser">
    <w:name w:val="Lista (user)"/>
    <w:basedOn w:val="Tekstpodstawowy"/>
    <w:qFormat/>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customStyle="1" w:styleId="Tytuuser">
    <w:name w:val="Tytuł (user)"/>
    <w:basedOn w:val="Normalny"/>
    <w:next w:val="Podtytuuser"/>
    <w:qFormat/>
    <w:pPr>
      <w:spacing w:after="80" w:line="240" w:lineRule="auto"/>
    </w:pPr>
    <w:rPr>
      <w:rFonts w:ascii="Aptos Display" w:hAnsi="Aptos Display"/>
      <w:b/>
      <w:bCs/>
      <w:spacing w:val="-10"/>
      <w:sz w:val="56"/>
      <w:szCs w:val="56"/>
    </w:rPr>
  </w:style>
  <w:style w:type="paragraph" w:customStyle="1" w:styleId="Podtytuuser">
    <w:name w:val="Podtytuł (user)"/>
    <w:basedOn w:val="Normalny"/>
    <w:next w:val="Tekstpodstawowy"/>
    <w:qFormat/>
    <w:rPr>
      <w:i/>
      <w:iCs/>
      <w:color w:val="595959"/>
      <w:spacing w:val="15"/>
      <w:sz w:val="28"/>
      <w:szCs w:val="28"/>
    </w:rPr>
  </w:style>
  <w:style w:type="paragraph" w:styleId="Cytat">
    <w:name w:val="Quote"/>
    <w:basedOn w:val="Normalny"/>
    <w:qFormat/>
    <w:pPr>
      <w:spacing w:before="160"/>
      <w:jc w:val="center"/>
    </w:pPr>
    <w:rPr>
      <w:i/>
      <w:iCs/>
      <w:color w:val="404040"/>
    </w:rPr>
  </w:style>
  <w:style w:type="paragraph" w:styleId="Akapitzlist">
    <w:name w:val="List Paragraph"/>
    <w:basedOn w:val="Normalny"/>
    <w:qFormat/>
    <w:pPr>
      <w:ind w:left="720"/>
    </w:pPr>
  </w:style>
  <w:style w:type="paragraph" w:styleId="Cytatintensywny">
    <w:name w:val="Intense Quote"/>
    <w:basedOn w:val="Normalny"/>
    <w:qFormat/>
    <w:pPr>
      <w:pBdr>
        <w:top w:val="single" w:sz="4" w:space="10" w:color="0F4761"/>
        <w:bottom w:val="single" w:sz="4" w:space="10" w:color="0F4761"/>
      </w:pBdr>
      <w:spacing w:before="360" w:after="360"/>
      <w:ind w:left="864" w:right="864"/>
      <w:jc w:val="center"/>
    </w:pPr>
    <w:rPr>
      <w:i/>
      <w:iCs/>
      <w:color w:val="0F4761"/>
    </w:rPr>
  </w:style>
  <w:style w:type="paragraph" w:customStyle="1" w:styleId="Nagwekuser">
    <w:name w:val="Nagłówek (user)"/>
    <w:basedOn w:val="Normalny"/>
    <w:qFormat/>
    <w:pPr>
      <w:suppressLineNumbers/>
      <w:tabs>
        <w:tab w:val="center" w:pos="4536"/>
        <w:tab w:val="right" w:pos="9072"/>
      </w:tabs>
      <w:spacing w:after="0" w:line="240" w:lineRule="auto"/>
    </w:pPr>
  </w:style>
  <w:style w:type="paragraph" w:customStyle="1" w:styleId="Stopkauser">
    <w:name w:val="Stopka (user)"/>
    <w:basedOn w:val="Normalny"/>
    <w:qFormat/>
    <w:pPr>
      <w:suppressLineNumbers/>
      <w:tabs>
        <w:tab w:val="center" w:pos="4536"/>
        <w:tab w:val="right" w:pos="9072"/>
      </w:tabs>
      <w:spacing w:after="0" w:line="240" w:lineRule="auto"/>
    </w:pPr>
  </w:style>
  <w:style w:type="paragraph" w:customStyle="1" w:styleId="Gwkaistopka">
    <w:name w:val="Główka i stopka"/>
    <w:basedOn w:val="Normalny"/>
    <w:qFormat/>
    <w:pPr>
      <w:suppressLineNumbers/>
      <w:tabs>
        <w:tab w:val="center" w:pos="4819"/>
        <w:tab w:val="right" w:pos="9638"/>
      </w:tabs>
    </w:pPr>
  </w:style>
  <w:style w:type="paragraph" w:customStyle="1" w:styleId="Zawartotabeli">
    <w:name w:val="Zawartość tabeli"/>
    <w:basedOn w:val="Normalny"/>
    <w:qFormat/>
    <w:pPr>
      <w:suppressLineNumbers/>
    </w:pPr>
  </w:style>
  <w:style w:type="paragraph" w:styleId="Stopka">
    <w:name w:val="footer"/>
    <w:basedOn w:val="Normalny"/>
    <w:link w:val="StopkaZnak1"/>
    <w:uiPriority w:val="99"/>
    <w:unhideWhenUsed/>
    <w:rsid w:val="00EC4067"/>
    <w:pPr>
      <w:tabs>
        <w:tab w:val="center" w:pos="4536"/>
        <w:tab w:val="right" w:pos="9072"/>
      </w:tabs>
      <w:spacing w:after="0" w:line="240" w:lineRule="auto"/>
    </w:pPr>
  </w:style>
  <w:style w:type="character" w:customStyle="1" w:styleId="StopkaZnak1">
    <w:name w:val="Stopka Znak1"/>
    <w:basedOn w:val="Domylnaczcionkaakapitu"/>
    <w:link w:val="Stopka"/>
    <w:uiPriority w:val="99"/>
    <w:rsid w:val="00EC4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pubenchmark.net/"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cpubenchmark.ne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19</Pages>
  <Words>6798</Words>
  <Characters>40794</Characters>
  <Application>Microsoft Office Word</Application>
  <DocSecurity>0</DocSecurity>
  <Lines>339</Lines>
  <Paragraphs>94</Paragraphs>
  <ScaleCrop>false</ScaleCrop>
  <Company/>
  <LinksUpToDate>false</LinksUpToDate>
  <CharactersWithSpaces>47498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Wiktoria Piechowiak</cp:lastModifiedBy>
  <cp:revision>3</cp:revision>
  <dcterms:created xsi:type="dcterms:W3CDTF">2026-05-13T07:39:00Z</dcterms:created>
  <dcterms:modified xsi:type="dcterms:W3CDTF">2026-05-13T07:49:00Z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2026-05-05T09:54:00Z</dcterms:created>
  <dc:creator>Matt</dc:creator>
  <dc:description/>
  <dc:language>pl-PL</dc:language>
  <cp:lastModifiedBy/>
  <dcterms:modified xsi:type="dcterms:W3CDTF">2026-05-13T09:38:52Z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